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0C8" w:rsidRDefault="00F450C8" w:rsidP="0040168F">
      <w:pPr>
        <w:jc w:val="both"/>
        <w:rPr>
          <w:rFonts w:ascii="Arial" w:hAnsi="Arial" w:cs="Arial"/>
          <w:b/>
          <w:sz w:val="22"/>
          <w:szCs w:val="22"/>
          <w:lang w:val="es-MX"/>
        </w:rPr>
      </w:pPr>
      <w:r>
        <w:rPr>
          <w:rFonts w:ascii="Arial" w:hAnsi="Arial" w:cs="Arial"/>
          <w:b/>
          <w:sz w:val="22"/>
          <w:szCs w:val="22"/>
          <w:lang w:val="es-MX"/>
        </w:rPr>
        <w:t>EP. 134.- ALUMBRADO EN VIADUCTO</w:t>
      </w:r>
    </w:p>
    <w:p w:rsidR="00F450C8" w:rsidRDefault="00F450C8" w:rsidP="0040168F">
      <w:pPr>
        <w:jc w:val="both"/>
        <w:rPr>
          <w:rFonts w:ascii="Arial" w:hAnsi="Arial" w:cs="Arial"/>
          <w:b/>
          <w:sz w:val="22"/>
          <w:szCs w:val="22"/>
          <w:lang w:val="es-MX"/>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 xml:space="preserve">Suministro, instalación, comprobación y puesta en marcha de sistema de alumbrado en los tramos </w:t>
      </w:r>
      <w:r w:rsidR="0040168F">
        <w:rPr>
          <w:rFonts w:ascii="Arial" w:hAnsi="Arial" w:cs="Arial"/>
          <w:sz w:val="22"/>
          <w:szCs w:val="22"/>
        </w:rPr>
        <w:t>Interestación</w:t>
      </w:r>
      <w:r>
        <w:rPr>
          <w:rFonts w:ascii="Arial" w:hAnsi="Arial" w:cs="Arial"/>
          <w:sz w:val="22"/>
          <w:szCs w:val="22"/>
        </w:rPr>
        <w:t xml:space="preserve"> de viaducto. Formado por luminarias, cables de conexión, tubería, soportes, accesorios, parte proporcional del sistema de control de alumbrado y material para su correcta instalación y funcionamiento. Según pliego de especificaciones.</w:t>
      </w:r>
    </w:p>
    <w:p w:rsidR="00F450C8" w:rsidRDefault="00F450C8" w:rsidP="0040168F">
      <w:pPr>
        <w:tabs>
          <w:tab w:val="left" w:pos="426"/>
        </w:tabs>
        <w:jc w:val="both"/>
        <w:rPr>
          <w:rFonts w:ascii="Arial" w:hAnsi="Arial" w:cs="Arial"/>
          <w:sz w:val="22"/>
          <w:szCs w:val="22"/>
        </w:rPr>
      </w:pPr>
    </w:p>
    <w:p w:rsidR="00F450C8" w:rsidRPr="0040168F" w:rsidRDefault="0040168F" w:rsidP="0040168F">
      <w:pPr>
        <w:pStyle w:val="TITULO-3"/>
        <w:tabs>
          <w:tab w:val="clear" w:pos="1146"/>
        </w:tabs>
        <w:spacing w:line="240" w:lineRule="auto"/>
        <w:ind w:left="0" w:firstLine="0"/>
        <w:rPr>
          <w:rFonts w:ascii="Arial" w:hAnsi="Arial" w:cs="Arial"/>
          <w:i w:val="0"/>
          <w:sz w:val="22"/>
          <w:szCs w:val="22"/>
        </w:rPr>
      </w:pPr>
      <w:bookmarkStart w:id="0" w:name="_Toc368069980"/>
      <w:r w:rsidRPr="0040168F">
        <w:rPr>
          <w:rFonts w:ascii="Arial" w:hAnsi="Arial" w:cs="Arial"/>
          <w:b/>
          <w:i w:val="0"/>
          <w:sz w:val="22"/>
          <w:szCs w:val="22"/>
        </w:rPr>
        <w:t>CARACTERÍSTICAS TÉCNICAS</w:t>
      </w:r>
      <w:bookmarkEnd w:id="0"/>
      <w:r>
        <w:rPr>
          <w:rFonts w:ascii="Arial" w:hAnsi="Arial" w:cs="Arial"/>
          <w:b/>
          <w:i w:val="0"/>
          <w:sz w:val="22"/>
          <w:szCs w:val="22"/>
        </w:rPr>
        <w:t xml:space="preserve">.- </w:t>
      </w:r>
      <w:r w:rsidR="00F450C8" w:rsidRPr="0040168F">
        <w:rPr>
          <w:rFonts w:ascii="Arial" w:hAnsi="Arial" w:cs="Arial"/>
          <w:i w:val="0"/>
          <w:sz w:val="22"/>
          <w:szCs w:val="22"/>
        </w:rPr>
        <w:t>Las luminarias se alimentarán a 127 V, 60 Hz, una fase, dos hilos.</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 xml:space="preserve">El alcance de este concepto incluye todas las luminarias y lámparas fluorescentes, tipo T5, así como sus apagadores y demás elementos para el control del alumbrado, a instalar en los tramos </w:t>
      </w:r>
      <w:r w:rsidR="0040168F">
        <w:rPr>
          <w:rFonts w:ascii="Arial" w:hAnsi="Arial" w:cs="Arial"/>
          <w:sz w:val="22"/>
          <w:szCs w:val="22"/>
        </w:rPr>
        <w:t>Interestación</w:t>
      </w:r>
      <w:r>
        <w:rPr>
          <w:rFonts w:ascii="Arial" w:hAnsi="Arial" w:cs="Arial"/>
          <w:sz w:val="22"/>
          <w:szCs w:val="22"/>
        </w:rPr>
        <w:t xml:space="preserve"> de viaducto. </w:t>
      </w:r>
    </w:p>
    <w:p w:rsidR="00F450C8" w:rsidRDefault="00F450C8" w:rsidP="0040168F">
      <w:pPr>
        <w:tabs>
          <w:tab w:val="left" w:pos="426"/>
        </w:tabs>
        <w:jc w:val="both"/>
        <w:rPr>
          <w:rFonts w:ascii="Arial" w:hAnsi="Arial" w:cs="Arial"/>
          <w:sz w:val="22"/>
          <w:szCs w:val="22"/>
          <w:highlight w:val="green"/>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Las principales características de estas luminarias son</w:t>
      </w:r>
      <w:bookmarkStart w:id="1" w:name="_GoBack"/>
      <w:bookmarkEnd w:id="1"/>
      <w:r>
        <w:rPr>
          <w:rFonts w:ascii="Arial" w:hAnsi="Arial" w:cs="Arial"/>
          <w:sz w:val="22"/>
          <w:szCs w:val="22"/>
        </w:rPr>
        <w:t>:</w:t>
      </w:r>
    </w:p>
    <w:p w:rsidR="00F450C8" w:rsidRDefault="00F450C8" w:rsidP="0040168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F450C8" w:rsidTr="00F450C8">
        <w:trPr>
          <w:tblHeader/>
          <w:jc w:val="center"/>
        </w:trPr>
        <w:tc>
          <w:tcPr>
            <w:tcW w:w="4253" w:type="dxa"/>
            <w:tcBorders>
              <w:top w:val="single" w:sz="4" w:space="0" w:color="auto"/>
              <w:left w:val="single" w:sz="4" w:space="0" w:color="auto"/>
              <w:bottom w:val="single" w:sz="4" w:space="0" w:color="auto"/>
              <w:right w:val="single" w:sz="4" w:space="0" w:color="auto"/>
            </w:tcBorders>
            <w:shd w:val="clear" w:color="auto" w:fill="0F243E"/>
            <w:hideMark/>
          </w:tcPr>
          <w:p w:rsidR="00F450C8" w:rsidRDefault="00F450C8" w:rsidP="0040168F">
            <w:pPr>
              <w:tabs>
                <w:tab w:val="left" w:pos="426"/>
              </w:tabs>
              <w:jc w:val="both"/>
              <w:rPr>
                <w:rFonts w:ascii="Arial" w:hAnsi="Arial" w:cs="Arial"/>
                <w:b/>
                <w:sz w:val="22"/>
                <w:szCs w:val="22"/>
              </w:rPr>
            </w:pPr>
            <w:r>
              <w:rPr>
                <w:rFonts w:ascii="Arial" w:hAnsi="Arial" w:cs="Arial"/>
                <w:b/>
                <w:sz w:val="22"/>
                <w:szCs w:val="22"/>
              </w:rPr>
              <w:t>Característica</w:t>
            </w:r>
          </w:p>
        </w:tc>
        <w:tc>
          <w:tcPr>
            <w:tcW w:w="5103" w:type="dxa"/>
            <w:tcBorders>
              <w:top w:val="single" w:sz="4" w:space="0" w:color="auto"/>
              <w:left w:val="single" w:sz="4" w:space="0" w:color="auto"/>
              <w:bottom w:val="single" w:sz="4" w:space="0" w:color="auto"/>
              <w:right w:val="single" w:sz="4" w:space="0" w:color="auto"/>
            </w:tcBorders>
            <w:shd w:val="clear" w:color="auto" w:fill="0F243E"/>
            <w:hideMark/>
          </w:tcPr>
          <w:p w:rsidR="00F450C8" w:rsidRDefault="00F450C8" w:rsidP="0040168F">
            <w:pPr>
              <w:tabs>
                <w:tab w:val="left" w:pos="426"/>
              </w:tabs>
              <w:jc w:val="both"/>
              <w:rPr>
                <w:rFonts w:ascii="Arial" w:hAnsi="Arial" w:cs="Arial"/>
                <w:b/>
                <w:sz w:val="22"/>
                <w:szCs w:val="22"/>
              </w:rPr>
            </w:pPr>
            <w:r>
              <w:rPr>
                <w:rFonts w:ascii="Arial" w:hAnsi="Arial" w:cs="Arial"/>
                <w:b/>
                <w:sz w:val="22"/>
                <w:szCs w:val="22"/>
              </w:rPr>
              <w:t>Valor</w:t>
            </w:r>
          </w:p>
        </w:tc>
      </w:tr>
      <w:tr w:rsidR="00F450C8" w:rsidTr="00F450C8">
        <w:trPr>
          <w:jc w:val="center"/>
        </w:trPr>
        <w:tc>
          <w:tcPr>
            <w:tcW w:w="425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Tipo de luminaria:</w:t>
            </w:r>
          </w:p>
        </w:tc>
        <w:tc>
          <w:tcPr>
            <w:tcW w:w="510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Fluorescente estanco</w:t>
            </w:r>
          </w:p>
        </w:tc>
      </w:tr>
      <w:tr w:rsidR="00F450C8" w:rsidTr="00F450C8">
        <w:trPr>
          <w:jc w:val="center"/>
        </w:trPr>
        <w:tc>
          <w:tcPr>
            <w:tcW w:w="425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Material:</w:t>
            </w:r>
          </w:p>
        </w:tc>
        <w:tc>
          <w:tcPr>
            <w:tcW w:w="510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Carcasa poliéster reforzado con fibra vidrio</w:t>
            </w:r>
          </w:p>
        </w:tc>
      </w:tr>
      <w:tr w:rsidR="00F450C8" w:rsidTr="00F450C8">
        <w:trPr>
          <w:jc w:val="center"/>
        </w:trPr>
        <w:tc>
          <w:tcPr>
            <w:tcW w:w="425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Instalación:</w:t>
            </w:r>
          </w:p>
        </w:tc>
        <w:tc>
          <w:tcPr>
            <w:tcW w:w="510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Superficial</w:t>
            </w:r>
          </w:p>
        </w:tc>
      </w:tr>
      <w:tr w:rsidR="00F450C8" w:rsidTr="00F450C8">
        <w:trPr>
          <w:jc w:val="center"/>
        </w:trPr>
        <w:tc>
          <w:tcPr>
            <w:tcW w:w="425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Potencia:</w:t>
            </w:r>
          </w:p>
        </w:tc>
        <w:tc>
          <w:tcPr>
            <w:tcW w:w="510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2x35 W</w:t>
            </w:r>
          </w:p>
        </w:tc>
      </w:tr>
      <w:tr w:rsidR="00F450C8" w:rsidTr="00F450C8">
        <w:trPr>
          <w:jc w:val="center"/>
        </w:trPr>
        <w:tc>
          <w:tcPr>
            <w:tcW w:w="425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Tensión alimentación:</w:t>
            </w:r>
          </w:p>
        </w:tc>
        <w:tc>
          <w:tcPr>
            <w:tcW w:w="510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 xml:space="preserve">Monofásica, 127 V </w:t>
            </w:r>
          </w:p>
        </w:tc>
      </w:tr>
      <w:tr w:rsidR="00F450C8" w:rsidTr="00F450C8">
        <w:trPr>
          <w:jc w:val="center"/>
        </w:trPr>
        <w:tc>
          <w:tcPr>
            <w:tcW w:w="425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Conexión:</w:t>
            </w:r>
          </w:p>
        </w:tc>
        <w:tc>
          <w:tcPr>
            <w:tcW w:w="510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Rápida</w:t>
            </w:r>
          </w:p>
        </w:tc>
      </w:tr>
      <w:tr w:rsidR="00F450C8" w:rsidTr="00F450C8">
        <w:trPr>
          <w:jc w:val="center"/>
        </w:trPr>
        <w:tc>
          <w:tcPr>
            <w:tcW w:w="425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Difusor:</w:t>
            </w:r>
          </w:p>
        </w:tc>
        <w:tc>
          <w:tcPr>
            <w:tcW w:w="510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Policarbonato</w:t>
            </w:r>
          </w:p>
        </w:tc>
      </w:tr>
      <w:tr w:rsidR="00F450C8" w:rsidTr="00F450C8">
        <w:trPr>
          <w:jc w:val="center"/>
        </w:trPr>
        <w:tc>
          <w:tcPr>
            <w:tcW w:w="425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Grado de protección:</w:t>
            </w:r>
          </w:p>
        </w:tc>
        <w:tc>
          <w:tcPr>
            <w:tcW w:w="510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IP 65 (IEC 60529)</w:t>
            </w:r>
          </w:p>
        </w:tc>
      </w:tr>
      <w:tr w:rsidR="00F450C8" w:rsidTr="00F450C8">
        <w:trPr>
          <w:jc w:val="center"/>
        </w:trPr>
        <w:tc>
          <w:tcPr>
            <w:tcW w:w="425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Aislamiento:</w:t>
            </w:r>
          </w:p>
        </w:tc>
        <w:tc>
          <w:tcPr>
            <w:tcW w:w="510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Clase I</w:t>
            </w:r>
          </w:p>
        </w:tc>
      </w:tr>
      <w:tr w:rsidR="00F450C8" w:rsidTr="00F450C8">
        <w:trPr>
          <w:jc w:val="center"/>
        </w:trPr>
        <w:tc>
          <w:tcPr>
            <w:tcW w:w="425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Lámparas:</w:t>
            </w:r>
          </w:p>
        </w:tc>
        <w:tc>
          <w:tcPr>
            <w:tcW w:w="510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Tubo fluorescentes T5 (T16)</w:t>
            </w:r>
          </w:p>
        </w:tc>
      </w:tr>
      <w:tr w:rsidR="00F450C8" w:rsidTr="00F450C8">
        <w:trPr>
          <w:jc w:val="center"/>
        </w:trPr>
        <w:tc>
          <w:tcPr>
            <w:tcW w:w="425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Dimensiones:</w:t>
            </w:r>
          </w:p>
        </w:tc>
        <w:tc>
          <w:tcPr>
            <w:tcW w:w="510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1577 x 102 x 84 mm (Largo x Alto x Ancho)</w:t>
            </w:r>
          </w:p>
        </w:tc>
      </w:tr>
      <w:tr w:rsidR="00F450C8" w:rsidTr="00F450C8">
        <w:trPr>
          <w:jc w:val="center"/>
        </w:trPr>
        <w:tc>
          <w:tcPr>
            <w:tcW w:w="425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Peso:</w:t>
            </w:r>
          </w:p>
        </w:tc>
        <w:tc>
          <w:tcPr>
            <w:tcW w:w="510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2,3 kg</w:t>
            </w:r>
          </w:p>
        </w:tc>
      </w:tr>
      <w:tr w:rsidR="00F450C8" w:rsidTr="00F450C8">
        <w:trPr>
          <w:jc w:val="center"/>
        </w:trPr>
        <w:tc>
          <w:tcPr>
            <w:tcW w:w="425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 xml:space="preserve">Reactancia:  </w:t>
            </w:r>
          </w:p>
        </w:tc>
        <w:tc>
          <w:tcPr>
            <w:tcW w:w="510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Electrónica alta frecuencia</w:t>
            </w:r>
          </w:p>
        </w:tc>
      </w:tr>
      <w:tr w:rsidR="00F450C8" w:rsidTr="00F450C8">
        <w:trPr>
          <w:jc w:val="center"/>
        </w:trPr>
        <w:tc>
          <w:tcPr>
            <w:tcW w:w="425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Índice reproducción cromática</w:t>
            </w:r>
          </w:p>
        </w:tc>
        <w:tc>
          <w:tcPr>
            <w:tcW w:w="510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80 (mín.)</w:t>
            </w:r>
          </w:p>
        </w:tc>
      </w:tr>
      <w:tr w:rsidR="00F450C8" w:rsidTr="00F450C8">
        <w:trPr>
          <w:jc w:val="center"/>
        </w:trPr>
        <w:tc>
          <w:tcPr>
            <w:tcW w:w="425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Temperatura de color</w:t>
            </w:r>
          </w:p>
        </w:tc>
        <w:tc>
          <w:tcPr>
            <w:tcW w:w="5103" w:type="dxa"/>
            <w:tcBorders>
              <w:top w:val="single" w:sz="4" w:space="0" w:color="auto"/>
              <w:left w:val="single" w:sz="4" w:space="0" w:color="auto"/>
              <w:bottom w:val="single" w:sz="4" w:space="0" w:color="auto"/>
              <w:right w:val="single" w:sz="4" w:space="0" w:color="auto"/>
            </w:tcBorders>
            <w:hideMark/>
          </w:tcPr>
          <w:p w:rsidR="00F450C8" w:rsidRDefault="00F450C8" w:rsidP="0040168F">
            <w:pPr>
              <w:jc w:val="both"/>
              <w:rPr>
                <w:rFonts w:ascii="Arial" w:hAnsi="Arial" w:cs="Arial"/>
                <w:sz w:val="22"/>
                <w:szCs w:val="22"/>
              </w:rPr>
            </w:pPr>
            <w:r>
              <w:rPr>
                <w:rFonts w:ascii="Arial" w:hAnsi="Arial" w:cs="Arial"/>
                <w:sz w:val="22"/>
                <w:szCs w:val="22"/>
              </w:rPr>
              <w:t>4.000 K (mín.)</w:t>
            </w:r>
          </w:p>
        </w:tc>
      </w:tr>
    </w:tbl>
    <w:p w:rsidR="00F450C8" w:rsidRDefault="00F450C8" w:rsidP="0040168F">
      <w:pPr>
        <w:tabs>
          <w:tab w:val="left" w:pos="426"/>
        </w:tabs>
        <w:jc w:val="both"/>
        <w:rPr>
          <w:rFonts w:ascii="Arial" w:hAnsi="Arial" w:cs="Arial"/>
          <w:sz w:val="22"/>
          <w:szCs w:val="22"/>
        </w:rPr>
      </w:pPr>
    </w:p>
    <w:p w:rsidR="0040168F" w:rsidRDefault="0040168F"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Se dispondrán rótulos en las luminarias para una fácil y rápida identificación de cada circuito.</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Para los casos de una falla generalizada de la alimentación eléctrica, se colocarán unidades de iluminación del mismo tipo que el del alumbrado normal, pero equipadas con una Fuente Autónoma de Energía (FAE) alimentada en servicio normal, que permiten, gracias a baterías, mantener encendidas estas unidades por 90 minutos</w:t>
      </w:r>
    </w:p>
    <w:p w:rsidR="00F450C8" w:rsidRDefault="00F450C8" w:rsidP="0040168F">
      <w:pPr>
        <w:tabs>
          <w:tab w:val="left" w:pos="426"/>
        </w:tabs>
        <w:jc w:val="both"/>
        <w:rPr>
          <w:rFonts w:ascii="Arial" w:hAnsi="Arial" w:cs="Arial"/>
          <w:sz w:val="22"/>
          <w:szCs w:val="22"/>
        </w:rPr>
      </w:pPr>
    </w:p>
    <w:p w:rsidR="0040168F" w:rsidRDefault="0040168F" w:rsidP="0040168F">
      <w:pPr>
        <w:tabs>
          <w:tab w:val="left" w:pos="426"/>
        </w:tabs>
        <w:jc w:val="both"/>
        <w:rPr>
          <w:rFonts w:ascii="Arial" w:hAnsi="Arial" w:cs="Arial"/>
          <w:sz w:val="22"/>
          <w:szCs w:val="22"/>
        </w:rPr>
      </w:pPr>
    </w:p>
    <w:p w:rsidR="0040168F" w:rsidRDefault="0040168F"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lastRenderedPageBreak/>
        <w:t>El alcance de este concepto incluye canalizaciones y cableado.</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Los cables de alimentación serán con conductor de cobre; monopolares o multipolares, con aislamiento tipo THHW-LS, bajo de halógenos, 90ºC, de 600 V de aislamiento, con retardador de flama. El calibre mínimo será de 12 AWG</w:t>
      </w:r>
    </w:p>
    <w:p w:rsidR="00F450C8" w:rsidRDefault="00F450C8" w:rsidP="0040168F">
      <w:pPr>
        <w:tabs>
          <w:tab w:val="left" w:pos="426"/>
        </w:tabs>
        <w:jc w:val="both"/>
        <w:rPr>
          <w:rFonts w:ascii="Arial" w:hAnsi="Arial" w:cs="Arial"/>
          <w:sz w:val="22"/>
          <w:szCs w:val="22"/>
        </w:rPr>
      </w:pPr>
    </w:p>
    <w:p w:rsidR="0040168F" w:rsidRDefault="0040168F"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La tubería mínima a emplear en instalaciones de alumbrado, es Pared Gruesa Galvanizada de 21 mm (3/4”) de diámetro.</w:t>
      </w:r>
    </w:p>
    <w:p w:rsidR="00F450C8" w:rsidRDefault="00F450C8" w:rsidP="0040168F">
      <w:pPr>
        <w:tabs>
          <w:tab w:val="left" w:pos="426"/>
        </w:tabs>
        <w:jc w:val="both"/>
        <w:rPr>
          <w:rFonts w:ascii="Arial" w:hAnsi="Arial" w:cs="Arial"/>
          <w:sz w:val="22"/>
          <w:szCs w:val="22"/>
        </w:rPr>
      </w:pPr>
    </w:p>
    <w:p w:rsidR="0040168F" w:rsidRDefault="0040168F"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Será de obligado cumplimiento la siguiente normativa:</w:t>
      </w:r>
    </w:p>
    <w:p w:rsidR="00F450C8" w:rsidRDefault="00F450C8" w:rsidP="0040168F">
      <w:pPr>
        <w:tabs>
          <w:tab w:val="left" w:pos="426"/>
        </w:tabs>
        <w:jc w:val="both"/>
        <w:rPr>
          <w:rFonts w:ascii="Arial" w:hAnsi="Arial" w:cs="Arial"/>
          <w:sz w:val="22"/>
          <w:szCs w:val="22"/>
        </w:rPr>
      </w:pP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 xml:space="preserve">NFPA 70-NEC Nacional Electric </w:t>
      </w:r>
      <w:proofErr w:type="spellStart"/>
      <w:r>
        <w:rPr>
          <w:rFonts w:ascii="Arial" w:hAnsi="Arial" w:cs="Arial"/>
          <w:sz w:val="22"/>
          <w:szCs w:val="22"/>
        </w:rPr>
        <w:t>code</w:t>
      </w:r>
      <w:proofErr w:type="spellEnd"/>
      <w:r>
        <w:rPr>
          <w:rFonts w:ascii="Arial" w:hAnsi="Arial" w:cs="Arial"/>
          <w:sz w:val="22"/>
          <w:szCs w:val="22"/>
        </w:rPr>
        <w:t xml:space="preserve"> (USA).</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NOM-00-SEDE-2012 Instalaciones eléctricas.</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lang w:val="en-US"/>
        </w:rPr>
      </w:pPr>
      <w:r>
        <w:rPr>
          <w:rFonts w:ascii="Arial" w:hAnsi="Arial" w:cs="Arial"/>
          <w:sz w:val="22"/>
          <w:szCs w:val="22"/>
          <w:lang w:val="en-US"/>
        </w:rPr>
        <w:t>IEC 60081 Double-capped fluorescent lamps.</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lang w:val="en-US"/>
        </w:rPr>
        <w:t xml:space="preserve">IEC 60969 Energy efficiency of electric lamps for household use. </w:t>
      </w:r>
      <w:proofErr w:type="spellStart"/>
      <w:r>
        <w:rPr>
          <w:rFonts w:ascii="Arial" w:hAnsi="Arial" w:cs="Arial"/>
          <w:sz w:val="22"/>
          <w:szCs w:val="22"/>
        </w:rPr>
        <w:t>Measurement</w:t>
      </w:r>
      <w:proofErr w:type="spellEnd"/>
      <w:r>
        <w:rPr>
          <w:rFonts w:ascii="Arial" w:hAnsi="Arial" w:cs="Arial"/>
          <w:sz w:val="22"/>
          <w:szCs w:val="22"/>
        </w:rPr>
        <w:t xml:space="preserve"> </w:t>
      </w:r>
      <w:proofErr w:type="spellStart"/>
      <w:r>
        <w:rPr>
          <w:rFonts w:ascii="Arial" w:hAnsi="Arial" w:cs="Arial"/>
          <w:sz w:val="22"/>
          <w:szCs w:val="22"/>
        </w:rPr>
        <w:t>methods</w:t>
      </w:r>
      <w:proofErr w:type="spellEnd"/>
      <w:r>
        <w:rPr>
          <w:rFonts w:ascii="Arial" w:hAnsi="Arial" w:cs="Arial"/>
          <w:sz w:val="22"/>
          <w:szCs w:val="22"/>
        </w:rPr>
        <w:t>.</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lang w:val="en-US"/>
        </w:rPr>
      </w:pPr>
      <w:r>
        <w:rPr>
          <w:rFonts w:ascii="Arial" w:hAnsi="Arial" w:cs="Arial"/>
          <w:sz w:val="22"/>
          <w:szCs w:val="22"/>
          <w:lang w:val="en-US"/>
        </w:rPr>
        <w:t>IEC 60968 Self-ballasted lamps for general lighting services, safety requirements.</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lang w:val="en-US"/>
        </w:rPr>
        <w:t xml:space="preserve">IEC 60921 Ballast for tubular fluorescent lamps. </w:t>
      </w:r>
      <w:r>
        <w:rPr>
          <w:rFonts w:ascii="Arial" w:hAnsi="Arial" w:cs="Arial"/>
          <w:sz w:val="22"/>
          <w:szCs w:val="22"/>
        </w:rPr>
        <w:t xml:space="preserve">Performance </w:t>
      </w:r>
      <w:proofErr w:type="spellStart"/>
      <w:r>
        <w:rPr>
          <w:rFonts w:ascii="Arial" w:hAnsi="Arial" w:cs="Arial"/>
          <w:sz w:val="22"/>
          <w:szCs w:val="22"/>
        </w:rPr>
        <w:t>requirements</w:t>
      </w:r>
      <w:proofErr w:type="spellEnd"/>
      <w:r>
        <w:rPr>
          <w:rFonts w:ascii="Arial" w:hAnsi="Arial" w:cs="Arial"/>
          <w:sz w:val="22"/>
          <w:szCs w:val="22"/>
        </w:rPr>
        <w:t>.</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lang w:val="en-US"/>
        </w:rPr>
        <w:t xml:space="preserve">IEC 60929 A.C. supplied electronic ballasts for tubular fluorescent lamps. </w:t>
      </w:r>
      <w:r>
        <w:rPr>
          <w:rFonts w:ascii="Arial" w:hAnsi="Arial" w:cs="Arial"/>
          <w:sz w:val="22"/>
          <w:szCs w:val="22"/>
        </w:rPr>
        <w:t xml:space="preserve">Performance </w:t>
      </w:r>
      <w:proofErr w:type="spellStart"/>
      <w:r>
        <w:rPr>
          <w:rFonts w:ascii="Arial" w:hAnsi="Arial" w:cs="Arial"/>
          <w:sz w:val="22"/>
          <w:szCs w:val="22"/>
        </w:rPr>
        <w:t>requirements</w:t>
      </w:r>
      <w:proofErr w:type="spellEnd"/>
      <w:r>
        <w:rPr>
          <w:rFonts w:ascii="Arial" w:hAnsi="Arial" w:cs="Arial"/>
          <w:sz w:val="22"/>
          <w:szCs w:val="22"/>
        </w:rPr>
        <w:t>.</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IEC 60598 Luminarias.</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 xml:space="preserve">NFPA 101  </w:t>
      </w:r>
      <w:proofErr w:type="spellStart"/>
      <w:r>
        <w:rPr>
          <w:rFonts w:ascii="Arial" w:hAnsi="Arial" w:cs="Arial"/>
          <w:sz w:val="22"/>
          <w:szCs w:val="22"/>
        </w:rPr>
        <w:t>Life</w:t>
      </w:r>
      <w:proofErr w:type="spellEnd"/>
      <w:r>
        <w:rPr>
          <w:rFonts w:ascii="Arial" w:hAnsi="Arial" w:cs="Arial"/>
          <w:sz w:val="22"/>
          <w:szCs w:val="22"/>
        </w:rPr>
        <w:t xml:space="preserve"> safety </w:t>
      </w:r>
      <w:proofErr w:type="spellStart"/>
      <w:r>
        <w:rPr>
          <w:rFonts w:ascii="Arial" w:hAnsi="Arial" w:cs="Arial"/>
          <w:sz w:val="22"/>
          <w:szCs w:val="22"/>
        </w:rPr>
        <w:t>code</w:t>
      </w:r>
      <w:proofErr w:type="spellEnd"/>
      <w:r>
        <w:rPr>
          <w:rFonts w:ascii="Arial" w:hAnsi="Arial" w:cs="Arial"/>
          <w:sz w:val="22"/>
          <w:szCs w:val="22"/>
        </w:rPr>
        <w:t>.</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 xml:space="preserve">IEC 60598-22 </w:t>
      </w:r>
      <w:proofErr w:type="spellStart"/>
      <w:r>
        <w:rPr>
          <w:rFonts w:ascii="Arial" w:hAnsi="Arial" w:cs="Arial"/>
          <w:sz w:val="22"/>
          <w:szCs w:val="22"/>
        </w:rPr>
        <w:t>Emergency</w:t>
      </w:r>
      <w:proofErr w:type="spellEnd"/>
      <w:r>
        <w:rPr>
          <w:rFonts w:ascii="Arial" w:hAnsi="Arial" w:cs="Arial"/>
          <w:sz w:val="22"/>
          <w:szCs w:val="22"/>
        </w:rPr>
        <w:t xml:space="preserve"> </w:t>
      </w:r>
      <w:proofErr w:type="spellStart"/>
      <w:r>
        <w:rPr>
          <w:rFonts w:ascii="Arial" w:hAnsi="Arial" w:cs="Arial"/>
          <w:sz w:val="22"/>
          <w:szCs w:val="22"/>
        </w:rPr>
        <w:t>lighting</w:t>
      </w:r>
      <w:proofErr w:type="spellEnd"/>
      <w:r>
        <w:rPr>
          <w:rFonts w:ascii="Arial" w:hAnsi="Arial" w:cs="Arial"/>
          <w:sz w:val="22"/>
          <w:szCs w:val="22"/>
        </w:rPr>
        <w:t>.</w:t>
      </w:r>
    </w:p>
    <w:p w:rsidR="00F450C8" w:rsidRDefault="00F450C8" w:rsidP="0040168F">
      <w:pPr>
        <w:tabs>
          <w:tab w:val="left" w:pos="426"/>
        </w:tabs>
        <w:ind w:left="426"/>
        <w:jc w:val="both"/>
        <w:rPr>
          <w:rFonts w:ascii="Arial" w:hAnsi="Arial" w:cs="Arial"/>
          <w:sz w:val="22"/>
          <w:szCs w:val="22"/>
        </w:rPr>
      </w:pPr>
    </w:p>
    <w:p w:rsidR="0040168F" w:rsidRDefault="0040168F" w:rsidP="0040168F">
      <w:pPr>
        <w:tabs>
          <w:tab w:val="left" w:pos="426"/>
        </w:tabs>
        <w:ind w:left="426"/>
        <w:jc w:val="both"/>
        <w:rPr>
          <w:rFonts w:ascii="Arial" w:hAnsi="Arial" w:cs="Arial"/>
          <w:sz w:val="22"/>
          <w:szCs w:val="22"/>
        </w:rPr>
      </w:pPr>
    </w:p>
    <w:p w:rsidR="00F450C8" w:rsidRPr="0040168F" w:rsidRDefault="0040168F" w:rsidP="0040168F">
      <w:pPr>
        <w:pStyle w:val="TITULO-3"/>
        <w:tabs>
          <w:tab w:val="clear" w:pos="1146"/>
        </w:tabs>
        <w:spacing w:line="240" w:lineRule="auto"/>
        <w:ind w:left="0" w:firstLine="0"/>
        <w:rPr>
          <w:rFonts w:ascii="Arial" w:hAnsi="Arial" w:cs="Arial"/>
          <w:i w:val="0"/>
          <w:sz w:val="22"/>
          <w:szCs w:val="22"/>
        </w:rPr>
      </w:pPr>
      <w:bookmarkStart w:id="2" w:name="_Toc368069981"/>
      <w:r w:rsidRPr="0040168F">
        <w:rPr>
          <w:rFonts w:ascii="Arial" w:hAnsi="Arial" w:cs="Arial"/>
          <w:b/>
          <w:i w:val="0"/>
          <w:sz w:val="22"/>
          <w:szCs w:val="22"/>
        </w:rPr>
        <w:t>EJECUCIÓN DE OBRA</w:t>
      </w:r>
      <w:bookmarkEnd w:id="2"/>
      <w:r>
        <w:rPr>
          <w:rFonts w:ascii="Arial" w:hAnsi="Arial" w:cs="Arial"/>
          <w:b/>
          <w:i w:val="0"/>
          <w:sz w:val="22"/>
          <w:szCs w:val="22"/>
        </w:rPr>
        <w:t xml:space="preserve">. </w:t>
      </w:r>
      <w:r w:rsidR="00F450C8" w:rsidRPr="0040168F">
        <w:rPr>
          <w:rFonts w:ascii="Arial" w:hAnsi="Arial" w:cs="Arial"/>
          <w:i w:val="0"/>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de iluminación, así como los responsables de llevar a cabo y verificar dichas pruebas.</w:t>
      </w:r>
    </w:p>
    <w:p w:rsidR="00F450C8" w:rsidRPr="0040168F"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Así mismo se establecerán los procedimientos para la atención de detalles y averías durante el proceso de montaje y pruebas y durante el periodo de garantía.</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Antes del inicio de los trabajos el contratista deberá presentar los planos constructivos, debidamente acotados  incluyendo la identificación del circuito al que pertenecen las luminarias, así como los esquemas unifilares y rutados de canalizaciones y cables.</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 xml:space="preserve">Esta documentación debe ser presentada a la Dirección de Obra para su aprobación, </w:t>
      </w:r>
      <w:r w:rsidR="0040168F">
        <w:rPr>
          <w:rFonts w:ascii="Arial" w:hAnsi="Arial" w:cs="Arial"/>
          <w:sz w:val="22"/>
          <w:szCs w:val="22"/>
        </w:rPr>
        <w:t>previa</w:t>
      </w:r>
      <w:r>
        <w:rPr>
          <w:rFonts w:ascii="Arial" w:hAnsi="Arial" w:cs="Arial"/>
          <w:sz w:val="22"/>
          <w:szCs w:val="22"/>
        </w:rPr>
        <w:t xml:space="preserve"> a la compra de los materiales. Una vez finalizada la obra se deben presentar los planos conforme a obra de todos los tableros y de toda la instalación.</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 xml:space="preserve">El Contratista tendrá a su cargo todos los materiales y accesorios de instalación que las luminarias requieran. </w:t>
      </w:r>
    </w:p>
    <w:p w:rsidR="00F450C8" w:rsidRDefault="00F450C8" w:rsidP="0040168F">
      <w:pPr>
        <w:tabs>
          <w:tab w:val="left" w:pos="426"/>
        </w:tabs>
        <w:jc w:val="both"/>
        <w:rPr>
          <w:rFonts w:ascii="Arial" w:hAnsi="Arial" w:cs="Arial"/>
          <w:sz w:val="22"/>
          <w:szCs w:val="22"/>
        </w:rPr>
      </w:pPr>
    </w:p>
    <w:p w:rsidR="00F450C8" w:rsidRDefault="00F450C8" w:rsidP="0040168F">
      <w:pPr>
        <w:jc w:val="both"/>
        <w:rPr>
          <w:rFonts w:ascii="Arial" w:hAnsi="Arial" w:cs="Arial"/>
          <w:sz w:val="22"/>
          <w:szCs w:val="22"/>
        </w:rPr>
      </w:pPr>
      <w:r>
        <w:rPr>
          <w:rFonts w:ascii="Arial" w:hAnsi="Arial" w:cs="Arial"/>
          <w:sz w:val="22"/>
          <w:szCs w:val="22"/>
        </w:rPr>
        <w:t>El sistema de iluminación deberá ser operado y controlado desde el sitio establecido por los operarios del sistema, donde se vigilara que el sistema esté funcionando adecuadamente, bajo los parámetros eléctricos establecidos y apegados al manual de explotación establecido y programas de mantenimiento.</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Se supervisara de manera constante la correcta instalación de las luminarias.</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 xml:space="preserve">Para la instalación de las luminarias se tendrá en cuenta las condiciones del viaducto, evitando quedar expuesto a la lluvia y/o a goteos de agua, y coordinados con el resto de equipos (canalizaciones, señales, </w:t>
      </w:r>
      <w:proofErr w:type="spellStart"/>
      <w:r>
        <w:rPr>
          <w:rFonts w:ascii="Arial" w:hAnsi="Arial" w:cs="Arial"/>
          <w:sz w:val="22"/>
          <w:szCs w:val="22"/>
        </w:rPr>
        <w:t>etc</w:t>
      </w:r>
      <w:proofErr w:type="spellEnd"/>
      <w:r>
        <w:rPr>
          <w:rFonts w:ascii="Arial" w:hAnsi="Arial" w:cs="Arial"/>
          <w:sz w:val="22"/>
          <w:szCs w:val="22"/>
        </w:rPr>
        <w:t xml:space="preserve">). </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 xml:space="preserve">Deberán ser fácilmente accesibles para su revisión, mantenimiento y operación por personal calificado. </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Las luminarias deberán estar alineadas y niveladas de forma que se mantenga una armonía visual con una instalación uniforme</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Las luminarias se instalarán superficialmente, según planos, con una distancia de 10 m.</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Para la instalación de las luminarias se utilizarán los accesorios de montaje y fijación indicados por el fabricante.</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La unión de la caja de conexiones a las luminarias se debe hacer con cable de cobre con aislamiento tipo THHW-LS alojado en tubo flexible zapa con conectores apropiados.</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La instalación de las luminarias en la obra debe hacerse en completa coordinación con la dirección de la obra, tomando en cuenta:</w:t>
      </w:r>
    </w:p>
    <w:p w:rsidR="00F450C8" w:rsidRDefault="00F450C8" w:rsidP="0040168F">
      <w:pPr>
        <w:tabs>
          <w:tab w:val="left" w:pos="426"/>
        </w:tabs>
        <w:jc w:val="both"/>
        <w:rPr>
          <w:rFonts w:ascii="Arial" w:hAnsi="Arial" w:cs="Arial"/>
          <w:sz w:val="22"/>
          <w:szCs w:val="22"/>
        </w:rPr>
      </w:pPr>
    </w:p>
    <w:p w:rsidR="00F450C8" w:rsidRDefault="00F450C8" w:rsidP="0040168F">
      <w:pPr>
        <w:numPr>
          <w:ilvl w:val="0"/>
          <w:numId w:val="32"/>
        </w:numPr>
        <w:tabs>
          <w:tab w:val="left" w:pos="426"/>
          <w:tab w:val="left" w:pos="851"/>
          <w:tab w:val="left" w:pos="1134"/>
          <w:tab w:val="left" w:pos="1418"/>
          <w:tab w:val="left" w:pos="1701"/>
        </w:tabs>
        <w:ind w:hanging="720"/>
        <w:jc w:val="both"/>
        <w:rPr>
          <w:rFonts w:ascii="Arial" w:hAnsi="Arial" w:cs="Arial"/>
          <w:sz w:val="22"/>
          <w:szCs w:val="22"/>
        </w:rPr>
      </w:pPr>
      <w:r>
        <w:rPr>
          <w:rFonts w:ascii="Arial" w:hAnsi="Arial" w:cs="Arial"/>
          <w:sz w:val="22"/>
          <w:szCs w:val="22"/>
        </w:rPr>
        <w:t>La entrega completa y conforme a lo requerido.</w:t>
      </w:r>
    </w:p>
    <w:p w:rsidR="00F450C8" w:rsidRDefault="00F450C8" w:rsidP="0040168F">
      <w:pPr>
        <w:numPr>
          <w:ilvl w:val="0"/>
          <w:numId w:val="32"/>
        </w:numPr>
        <w:tabs>
          <w:tab w:val="left" w:pos="426"/>
          <w:tab w:val="left" w:pos="851"/>
          <w:tab w:val="left" w:pos="1134"/>
          <w:tab w:val="left" w:pos="1418"/>
          <w:tab w:val="left" w:pos="1701"/>
        </w:tabs>
        <w:ind w:hanging="720"/>
        <w:jc w:val="both"/>
        <w:rPr>
          <w:rFonts w:ascii="Arial" w:hAnsi="Arial" w:cs="Arial"/>
          <w:sz w:val="22"/>
          <w:szCs w:val="22"/>
        </w:rPr>
      </w:pPr>
      <w:r>
        <w:rPr>
          <w:rFonts w:ascii="Arial" w:hAnsi="Arial" w:cs="Arial"/>
          <w:sz w:val="22"/>
          <w:szCs w:val="22"/>
        </w:rPr>
        <w:t>Las condiciones de seguridad en el viaducto</w:t>
      </w:r>
    </w:p>
    <w:p w:rsidR="00F450C8" w:rsidRDefault="00F450C8" w:rsidP="0040168F">
      <w:pPr>
        <w:numPr>
          <w:ilvl w:val="0"/>
          <w:numId w:val="32"/>
        </w:numPr>
        <w:tabs>
          <w:tab w:val="left" w:pos="426"/>
          <w:tab w:val="left" w:pos="851"/>
          <w:tab w:val="left" w:pos="1134"/>
          <w:tab w:val="left" w:pos="1418"/>
          <w:tab w:val="left" w:pos="1701"/>
        </w:tabs>
        <w:ind w:hanging="720"/>
        <w:jc w:val="both"/>
        <w:rPr>
          <w:rFonts w:ascii="Arial" w:hAnsi="Arial" w:cs="Arial"/>
          <w:sz w:val="22"/>
          <w:szCs w:val="22"/>
        </w:rPr>
      </w:pPr>
      <w:r>
        <w:rPr>
          <w:rFonts w:ascii="Arial" w:hAnsi="Arial" w:cs="Arial"/>
          <w:sz w:val="22"/>
          <w:szCs w:val="22"/>
        </w:rPr>
        <w:t>Los controles de acceso.</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Condiciones ambientales, como filtraciones de agua, limpieza, acabados arquitectónicos, trabajos de otros contratistas en el viaducto.</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El orden adecuado para la introducción de los distintos equipos en el viaducto en coordinación con otras especialidades.</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El arreglo de equipos instalados en el  viaducto</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lastRenderedPageBreak/>
        <w:t>Las fases de la instalación de las luminarias serán:</w:t>
      </w:r>
    </w:p>
    <w:p w:rsidR="00F450C8" w:rsidRDefault="00F450C8" w:rsidP="0040168F">
      <w:pPr>
        <w:tabs>
          <w:tab w:val="left" w:pos="426"/>
        </w:tabs>
        <w:jc w:val="both"/>
        <w:rPr>
          <w:rFonts w:ascii="Arial" w:hAnsi="Arial" w:cs="Arial"/>
          <w:sz w:val="22"/>
          <w:szCs w:val="22"/>
        </w:rPr>
      </w:pPr>
    </w:p>
    <w:p w:rsidR="00F450C8" w:rsidRDefault="00F450C8" w:rsidP="0040168F">
      <w:pPr>
        <w:numPr>
          <w:ilvl w:val="0"/>
          <w:numId w:val="32"/>
        </w:numPr>
        <w:tabs>
          <w:tab w:val="left" w:pos="426"/>
          <w:tab w:val="left" w:pos="851"/>
          <w:tab w:val="left" w:pos="1134"/>
          <w:tab w:val="left" w:pos="1418"/>
          <w:tab w:val="left" w:pos="1701"/>
        </w:tabs>
        <w:ind w:hanging="720"/>
        <w:jc w:val="both"/>
        <w:rPr>
          <w:rFonts w:ascii="Arial" w:hAnsi="Arial" w:cs="Arial"/>
          <w:sz w:val="22"/>
          <w:szCs w:val="22"/>
        </w:rPr>
      </w:pPr>
      <w:r>
        <w:rPr>
          <w:rFonts w:ascii="Arial" w:hAnsi="Arial" w:cs="Arial"/>
          <w:sz w:val="22"/>
          <w:szCs w:val="22"/>
        </w:rPr>
        <w:t>Reajuste y determinación del punto exacto de instalación</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 xml:space="preserve">Instalación de canalizaciones. </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Instalación de luminarias y equipos de alumbrado</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Tendido de cables</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 xml:space="preserve">Conexiones </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El concepto incluye toda la obra civil necesaria para la correcta instalación de las luminarias y sus elementos auxiliares.</w:t>
      </w:r>
    </w:p>
    <w:p w:rsidR="00F450C8" w:rsidRDefault="00F450C8" w:rsidP="0040168F">
      <w:pPr>
        <w:tabs>
          <w:tab w:val="left" w:pos="426"/>
        </w:tabs>
        <w:jc w:val="both"/>
        <w:rPr>
          <w:rFonts w:ascii="Arial" w:hAnsi="Arial" w:cs="Arial"/>
          <w:sz w:val="22"/>
          <w:szCs w:val="22"/>
        </w:rPr>
      </w:pPr>
    </w:p>
    <w:p w:rsidR="00F450C8" w:rsidRDefault="00F450C8" w:rsidP="0040168F">
      <w:pPr>
        <w:jc w:val="both"/>
        <w:rPr>
          <w:rFonts w:ascii="Arial" w:hAnsi="Arial" w:cs="Arial"/>
          <w:sz w:val="22"/>
          <w:szCs w:val="22"/>
        </w:rPr>
      </w:pPr>
      <w:r>
        <w:rPr>
          <w:rFonts w:ascii="Arial" w:hAnsi="Arial" w:cs="Arial"/>
          <w:sz w:val="22"/>
          <w:szCs w:val="22"/>
        </w:rPr>
        <w:t xml:space="preserve">Las luminarias fluorescentes deberán de cumplir estrictamente con el plan de mantenimiento establecido, ya que el cumplir al pie de la letra dicho plan, podría prolongar la vida útil de estas, así mismo se asegura mantener los niveles de iluminación establecidos durante el 80% de la vida útil de la luminaria. </w:t>
      </w:r>
    </w:p>
    <w:p w:rsidR="00F450C8" w:rsidRDefault="00F450C8" w:rsidP="0040168F">
      <w:pPr>
        <w:tabs>
          <w:tab w:val="left" w:pos="426"/>
        </w:tabs>
        <w:jc w:val="both"/>
        <w:rPr>
          <w:rFonts w:ascii="Arial" w:hAnsi="Arial" w:cs="Arial"/>
          <w:sz w:val="22"/>
          <w:szCs w:val="22"/>
        </w:rPr>
      </w:pPr>
    </w:p>
    <w:p w:rsidR="0040168F" w:rsidRDefault="0040168F" w:rsidP="0040168F">
      <w:pPr>
        <w:tabs>
          <w:tab w:val="left" w:pos="426"/>
        </w:tabs>
        <w:jc w:val="both"/>
        <w:rPr>
          <w:rFonts w:ascii="Arial" w:hAnsi="Arial" w:cs="Arial"/>
          <w:sz w:val="22"/>
          <w:szCs w:val="22"/>
        </w:rPr>
      </w:pPr>
    </w:p>
    <w:p w:rsidR="00F450C8" w:rsidRPr="0040168F" w:rsidRDefault="0040168F" w:rsidP="0040168F">
      <w:pPr>
        <w:pStyle w:val="TITULO-3"/>
        <w:tabs>
          <w:tab w:val="clear" w:pos="1146"/>
        </w:tabs>
        <w:spacing w:line="240" w:lineRule="auto"/>
        <w:ind w:left="0" w:firstLine="0"/>
        <w:rPr>
          <w:rFonts w:ascii="Arial" w:hAnsi="Arial" w:cs="Arial"/>
          <w:i w:val="0"/>
          <w:sz w:val="22"/>
          <w:szCs w:val="22"/>
        </w:rPr>
      </w:pPr>
      <w:bookmarkStart w:id="3" w:name="_Toc368069982"/>
      <w:r w:rsidRPr="0040168F">
        <w:rPr>
          <w:rFonts w:ascii="Arial" w:hAnsi="Arial" w:cs="Arial"/>
          <w:b/>
          <w:i w:val="0"/>
          <w:sz w:val="22"/>
          <w:szCs w:val="22"/>
        </w:rPr>
        <w:t>MEDICIÓN</w:t>
      </w:r>
      <w:bookmarkEnd w:id="3"/>
      <w:r w:rsidRPr="0040168F">
        <w:rPr>
          <w:rFonts w:ascii="Arial" w:hAnsi="Arial" w:cs="Arial"/>
          <w:b/>
          <w:i w:val="0"/>
          <w:sz w:val="22"/>
          <w:szCs w:val="22"/>
        </w:rPr>
        <w:t xml:space="preserve">.- </w:t>
      </w:r>
      <w:r w:rsidR="00F450C8" w:rsidRPr="0040168F">
        <w:rPr>
          <w:rFonts w:ascii="Arial" w:hAnsi="Arial" w:cs="Arial"/>
          <w:i w:val="0"/>
          <w:sz w:val="22"/>
          <w:szCs w:val="22"/>
        </w:rPr>
        <w:t>La medición se realizará por lote y de acuerdo con las descripciones detalladas y reflejadas en este documento.</w:t>
      </w:r>
    </w:p>
    <w:p w:rsidR="00F450C8" w:rsidRDefault="00F450C8" w:rsidP="0040168F">
      <w:pPr>
        <w:tabs>
          <w:tab w:val="left" w:pos="426"/>
        </w:tabs>
        <w:jc w:val="both"/>
        <w:rPr>
          <w:rFonts w:ascii="Arial" w:hAnsi="Arial" w:cs="Arial"/>
          <w:sz w:val="22"/>
          <w:szCs w:val="22"/>
        </w:rPr>
      </w:pPr>
    </w:p>
    <w:p w:rsidR="0040168F" w:rsidRPr="0040168F" w:rsidRDefault="0040168F" w:rsidP="0040168F">
      <w:pPr>
        <w:tabs>
          <w:tab w:val="left" w:pos="426"/>
        </w:tabs>
        <w:jc w:val="both"/>
        <w:rPr>
          <w:rFonts w:ascii="Arial" w:hAnsi="Arial" w:cs="Arial"/>
          <w:sz w:val="22"/>
          <w:szCs w:val="22"/>
        </w:rPr>
      </w:pPr>
    </w:p>
    <w:p w:rsidR="00F450C8" w:rsidRPr="0040168F" w:rsidRDefault="0040168F" w:rsidP="0040168F">
      <w:pPr>
        <w:pStyle w:val="TITULO-3"/>
        <w:tabs>
          <w:tab w:val="clear" w:pos="1146"/>
        </w:tabs>
        <w:spacing w:line="240" w:lineRule="auto"/>
        <w:ind w:left="0" w:firstLine="0"/>
        <w:rPr>
          <w:rFonts w:ascii="Arial" w:hAnsi="Arial" w:cs="Arial"/>
          <w:i w:val="0"/>
          <w:sz w:val="22"/>
          <w:szCs w:val="22"/>
        </w:rPr>
      </w:pPr>
      <w:bookmarkStart w:id="4" w:name="_Toc368069983"/>
      <w:r w:rsidRPr="0040168F">
        <w:rPr>
          <w:rFonts w:ascii="Arial" w:hAnsi="Arial" w:cs="Arial"/>
          <w:b/>
          <w:i w:val="0"/>
          <w:sz w:val="22"/>
          <w:szCs w:val="22"/>
        </w:rPr>
        <w:t>PRUEBAS Y ENSAYO</w:t>
      </w:r>
      <w:bookmarkEnd w:id="4"/>
      <w:r w:rsidRPr="0040168F">
        <w:rPr>
          <w:rFonts w:ascii="Arial" w:hAnsi="Arial" w:cs="Arial"/>
          <w:b/>
          <w:i w:val="0"/>
          <w:sz w:val="22"/>
          <w:szCs w:val="22"/>
        </w:rPr>
        <w:t xml:space="preserve">.- </w:t>
      </w:r>
      <w:r w:rsidR="00F450C8" w:rsidRPr="0040168F">
        <w:rPr>
          <w:rFonts w:ascii="Arial" w:hAnsi="Arial" w:cs="Arial"/>
          <w:i w:val="0"/>
          <w:sz w:val="22"/>
          <w:szCs w:val="22"/>
        </w:rPr>
        <w:t xml:space="preserve">Las pruebas y ensayos se realizarán según el protocolo de pruebas propuesto por el Contratista y aprobado por la DO. </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El alcance de los protocolos y ensayos de prueba incluye:</w:t>
      </w:r>
    </w:p>
    <w:p w:rsidR="00F450C8" w:rsidRDefault="00F450C8" w:rsidP="0040168F">
      <w:pPr>
        <w:tabs>
          <w:tab w:val="left" w:pos="426"/>
        </w:tabs>
        <w:jc w:val="both"/>
        <w:rPr>
          <w:rFonts w:ascii="Arial" w:hAnsi="Arial" w:cs="Arial"/>
          <w:sz w:val="22"/>
          <w:szCs w:val="22"/>
        </w:rPr>
      </w:pP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Pruebas FAT</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Pruebas SAT, englobadas en pruebas verticales o del propio subsistema y pruebas transversales o con otros sistemas con los cuales tiene interface.</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Se considerará como conjunto de pruebas los siguientes conceptos:</w:t>
      </w:r>
    </w:p>
    <w:p w:rsidR="00F450C8" w:rsidRDefault="00F450C8" w:rsidP="0040168F">
      <w:pPr>
        <w:tabs>
          <w:tab w:val="left" w:pos="426"/>
        </w:tabs>
        <w:jc w:val="both"/>
        <w:rPr>
          <w:rFonts w:ascii="Arial" w:hAnsi="Arial" w:cs="Arial"/>
          <w:sz w:val="22"/>
          <w:szCs w:val="22"/>
        </w:rPr>
      </w:pP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Pruebas de validación de materiales.</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Pruebas de validación de la instalación.</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Pruebas de validación de funcionalidades del sistema.</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Pruebas de validación de requerimientos técnicos.</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Pruebas de validación de redundancias y alta disponibilidad</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Pruebas de validación documental y captación de certificados y licencias software.</w:t>
      </w:r>
    </w:p>
    <w:p w:rsidR="00F450C8" w:rsidRDefault="00F450C8" w:rsidP="0040168F">
      <w:pPr>
        <w:tabs>
          <w:tab w:val="left" w:pos="426"/>
        </w:tabs>
        <w:jc w:val="both"/>
        <w:rPr>
          <w:rFonts w:ascii="Arial" w:hAnsi="Arial" w:cs="Arial"/>
          <w:sz w:val="22"/>
          <w:szCs w:val="22"/>
        </w:rPr>
      </w:pPr>
    </w:p>
    <w:p w:rsidR="00F450C8" w:rsidRDefault="00F450C8" w:rsidP="0040168F">
      <w:pPr>
        <w:tabs>
          <w:tab w:val="left" w:pos="426"/>
        </w:tabs>
        <w:jc w:val="both"/>
        <w:rPr>
          <w:rFonts w:ascii="Arial" w:hAnsi="Arial" w:cs="Arial"/>
          <w:sz w:val="22"/>
          <w:szCs w:val="22"/>
        </w:rPr>
      </w:pPr>
      <w:r>
        <w:rPr>
          <w:rFonts w:ascii="Arial" w:hAnsi="Arial" w:cs="Arial"/>
          <w:sz w:val="22"/>
          <w:szCs w:val="22"/>
        </w:rPr>
        <w:t>A modo orientativo y no limitativo, se deberá proceder a la realización del siguiente tipo de pruebas y ensayos:</w:t>
      </w:r>
    </w:p>
    <w:p w:rsidR="00F450C8" w:rsidRDefault="00F450C8" w:rsidP="0040168F">
      <w:pPr>
        <w:tabs>
          <w:tab w:val="left" w:pos="426"/>
        </w:tabs>
        <w:jc w:val="both"/>
        <w:rPr>
          <w:rFonts w:ascii="Arial" w:hAnsi="Arial" w:cs="Arial"/>
          <w:sz w:val="22"/>
          <w:szCs w:val="22"/>
        </w:rPr>
      </w:pP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Inspección visual y mecánica.</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Alineación y nivelación de luminarias.</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lastRenderedPageBreak/>
        <w:t>Funcionamiento de cada una de las luminarias.</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Encendido y apagado con apagadores o de forma automática del alumbrado de acuerdo a los planos del proyecto.</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Niveles de iluminación requeridos en el alumbrado normal y en el de emergencia.</w:t>
      </w:r>
    </w:p>
    <w:p w:rsidR="00F450C8" w:rsidRDefault="00F450C8" w:rsidP="0040168F">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Pr>
          <w:rFonts w:ascii="Arial" w:hAnsi="Arial" w:cs="Arial"/>
          <w:sz w:val="22"/>
          <w:szCs w:val="22"/>
        </w:rPr>
        <w:t>Comprobación del circuito y tablero de alimentación en cada luminaria.</w:t>
      </w:r>
    </w:p>
    <w:p w:rsidR="00F26CA5" w:rsidRPr="0040168F" w:rsidRDefault="00F26CA5" w:rsidP="0040168F"/>
    <w:p w:rsidR="0040168F" w:rsidRDefault="0040168F" w:rsidP="0040168F">
      <w:pPr>
        <w:rPr>
          <w:rFonts w:ascii="Arial" w:hAnsi="Arial" w:cs="Arial"/>
          <w:b/>
          <w:sz w:val="22"/>
          <w:szCs w:val="22"/>
        </w:rPr>
      </w:pPr>
    </w:p>
    <w:p w:rsidR="0040168F" w:rsidRDefault="0040168F" w:rsidP="0040168F">
      <w:pPr>
        <w:rPr>
          <w:rFonts w:ascii="Arial" w:hAnsi="Arial" w:cs="Arial"/>
          <w:b/>
          <w:sz w:val="22"/>
          <w:szCs w:val="22"/>
        </w:rPr>
      </w:pPr>
    </w:p>
    <w:p w:rsidR="0040168F" w:rsidRDefault="0040168F" w:rsidP="0040168F">
      <w:pPr>
        <w:tabs>
          <w:tab w:val="left" w:pos="360"/>
          <w:tab w:val="left" w:pos="1276"/>
          <w:tab w:val="left" w:pos="1620"/>
        </w:tabs>
        <w:ind w:right="334"/>
        <w:jc w:val="both"/>
        <w:rPr>
          <w:rFonts w:ascii="Arial" w:hAnsi="Arial" w:cs="Arial"/>
          <w:sz w:val="22"/>
          <w:szCs w:val="22"/>
        </w:rPr>
      </w:pPr>
      <w:r w:rsidRPr="005725A5">
        <w:rPr>
          <w:rFonts w:ascii="Arial" w:hAnsi="Arial" w:cs="Arial"/>
          <w:b/>
          <w:sz w:val="22"/>
          <w:szCs w:val="22"/>
        </w:rPr>
        <w:t xml:space="preserve">BASE DE PAGO.- </w:t>
      </w:r>
      <w:r w:rsidRPr="005725A5">
        <w:rPr>
          <w:rFonts w:ascii="Arial" w:hAnsi="Arial" w:cs="Arial"/>
          <w:sz w:val="22"/>
          <w:szCs w:val="22"/>
        </w:rPr>
        <w:t xml:space="preserve">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w:t>
      </w:r>
      <w:r w:rsidRPr="00B8778A">
        <w:rPr>
          <w:rFonts w:ascii="Arial" w:hAnsi="Arial" w:cs="Arial"/>
          <w:sz w:val="22"/>
          <w:szCs w:val="22"/>
        </w:rPr>
        <w:t>volumen resultante, se le aplicará el precio unitario autorizado contractualmente cuyo importe será pagado a la contratista en las condiciones y términos convenidos. El precio unitario incluye: Suministro, Acarreos, Carga, Descarga, Almacenaje, presentando documentos  evidencia de cumplimiento de control de calidad, como lo indican las especificaciones del proyecto y demás cargos necesarios para la correcta ejecución por unidad de obra terminada (P.U.O.T).</w:t>
      </w:r>
    </w:p>
    <w:p w:rsidR="00F450C8" w:rsidRPr="00F450C8" w:rsidRDefault="00F450C8" w:rsidP="00F450C8"/>
    <w:sectPr w:rsidR="00F450C8" w:rsidRPr="00F450C8">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619" w:rsidRDefault="008A5619" w:rsidP="00CD0A30">
      <w:r>
        <w:separator/>
      </w:r>
    </w:p>
  </w:endnote>
  <w:endnote w:type="continuationSeparator" w:id="0">
    <w:p w:rsidR="008A5619" w:rsidRDefault="008A5619" w:rsidP="00CD0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40168F" w:rsidRPr="0040168F">
          <w:rPr>
            <w:noProof/>
            <w:lang w:val="es-ES"/>
          </w:rPr>
          <w:t>2</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619" w:rsidRDefault="008A5619" w:rsidP="00CD0A30">
      <w:r>
        <w:separator/>
      </w:r>
    </w:p>
  </w:footnote>
  <w:footnote w:type="continuationSeparator" w:id="0">
    <w:p w:rsidR="008A5619" w:rsidRDefault="008A5619" w:rsidP="00CD0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8F0" w:rsidRDefault="002B48F0" w:rsidP="002B48F0">
    <w:pPr>
      <w:pStyle w:val="Encabezado"/>
      <w:jc w:val="right"/>
      <w:rPr>
        <w:rFonts w:ascii="Arial" w:hAnsi="Arial" w:cs="Arial"/>
        <w:color w:val="000000"/>
      </w:rPr>
    </w:pPr>
    <w:r>
      <w:rPr>
        <w:rFonts w:ascii="Arial" w:hAnsi="Arial" w:cs="Arial"/>
        <w:color w:val="000000"/>
      </w:rPr>
      <w:t>LO-000000000-XXX-2014</w:t>
    </w:r>
  </w:p>
  <w:p w:rsidR="00F26085" w:rsidRPr="00CD0A30" w:rsidRDefault="00F26085" w:rsidP="00CD0A30">
    <w:pPr>
      <w:tabs>
        <w:tab w:val="center" w:pos="4419"/>
        <w:tab w:val="right" w:pos="8838"/>
      </w:tabs>
      <w:jc w:val="right"/>
      <w:rPr>
        <w:rFonts w:ascii="Arial" w:hAnsi="Arial" w:cs="Arial"/>
      </w:rPr>
    </w:pPr>
  </w:p>
  <w:p w:rsidR="00F26085" w:rsidRPr="00CD0A30" w:rsidRDefault="00F26085" w:rsidP="00CD0A30">
    <w:pPr>
      <w:jc w:val="center"/>
      <w:rPr>
        <w:rFonts w:ascii="Cambria" w:eastAsia="MS Mincho" w:hAnsi="Cambria"/>
        <w:sz w:val="14"/>
      </w:rPr>
    </w:pPr>
    <w:r w:rsidRPr="00CD0A30">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jc w:val="center"/>
      <w:rPr>
        <w:rFonts w:ascii="Cambria" w:eastAsia="MS Mincho" w:hAnsi="Cambria"/>
        <w:sz w:val="14"/>
      </w:rPr>
    </w:pPr>
  </w:p>
  <w:p w:rsidR="00F26085" w:rsidRPr="00CD0A30" w:rsidRDefault="00F26085" w:rsidP="00CD0A30">
    <w:pPr>
      <w:jc w:val="center"/>
      <w:rPr>
        <w:rFonts w:ascii="Cambria" w:eastAsia="MS Mincho" w:hAnsi="Cambria"/>
      </w:rPr>
    </w:pPr>
    <w:r w:rsidRPr="00CD0A30">
      <w:rPr>
        <w:rFonts w:ascii="Arial" w:hAnsi="Arial" w:cs="Arial"/>
        <w:b/>
      </w:rPr>
      <w:t>ESPECIFICACIÓNES PARTICULARES</w:t>
    </w:r>
  </w:p>
  <w:p w:rsidR="00F26085" w:rsidRPr="00CD0A30" w:rsidRDefault="002B48F0" w:rsidP="002B48F0">
    <w:pPr>
      <w:tabs>
        <w:tab w:val="center" w:pos="4206"/>
        <w:tab w:val="left" w:pos="5160"/>
      </w:tabs>
      <w:ind w:left="-426"/>
      <w:rPr>
        <w:rFonts w:ascii="Arial" w:hAnsi="Arial" w:cs="Arial"/>
        <w:b/>
      </w:rPr>
    </w:pPr>
    <w:r>
      <w:rPr>
        <w:rFonts w:ascii="Arial" w:hAnsi="Arial" w:cs="Arial"/>
        <w:b/>
      </w:rPr>
      <w:tab/>
    </w:r>
    <w:r w:rsidR="00F26085" w:rsidRPr="00CD0A30">
      <w:rPr>
        <w:rFonts w:ascii="Arial" w:hAnsi="Arial" w:cs="Arial"/>
        <w:b/>
      </w:rPr>
      <w:t>Anexo 1</w:t>
    </w:r>
    <w:r>
      <w:rPr>
        <w:rFonts w:ascii="Arial" w:hAnsi="Arial" w:cs="Arial"/>
        <w:b/>
      </w:rPr>
      <w:tab/>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29F30254"/>
    <w:multiLevelType w:val="multilevel"/>
    <w:tmpl w:val="527278D2"/>
    <w:lvl w:ilvl="0">
      <w:start w:val="1"/>
      <w:numFmt w:val="decimal"/>
      <w:lvlText w:val="%1."/>
      <w:lvlJc w:val="left"/>
      <w:pPr>
        <w:tabs>
          <w:tab w:val="num" w:pos="360"/>
        </w:tabs>
        <w:ind w:left="360" w:hanging="360"/>
      </w:pPr>
    </w:lvl>
    <w:lvl w:ilvl="1">
      <w:start w:val="1"/>
      <w:numFmt w:val="decimal"/>
      <w:isLgl/>
      <w:lvlText w:val="%1.%2."/>
      <w:lvlJc w:val="left"/>
      <w:pPr>
        <w:tabs>
          <w:tab w:val="num" w:pos="792"/>
        </w:tabs>
        <w:ind w:left="792" w:hanging="432"/>
      </w:pPr>
      <w:rPr>
        <w:sz w:val="24"/>
        <w:szCs w:val="24"/>
      </w:rPr>
    </w:lvl>
    <w:lvl w:ilvl="2">
      <w:start w:val="1"/>
      <w:numFmt w:val="decimal"/>
      <w:lvlText w:val="%1.%2.%3."/>
      <w:lvlJc w:val="left"/>
      <w:pPr>
        <w:tabs>
          <w:tab w:val="num" w:pos="1440"/>
        </w:tabs>
        <w:ind w:left="1224" w:hanging="504"/>
      </w:pPr>
      <w:rPr>
        <w:lang w:val="es-ES_tradnl"/>
      </w:rPr>
    </w:lvl>
    <w:lvl w:ilvl="3">
      <w:start w:val="1"/>
      <w:numFmt w:val="decimal"/>
      <w:lvlText w:val="%1.%2.%3.%4."/>
      <w:lvlJc w:val="left"/>
      <w:pPr>
        <w:tabs>
          <w:tab w:val="num" w:pos="2160"/>
        </w:tabs>
        <w:ind w:left="1728" w:hanging="648"/>
      </w:pPr>
      <w:rPr>
        <w:b w:val="0"/>
      </w:rPr>
    </w:lvl>
    <w:lvl w:ilvl="4">
      <w:start w:val="1"/>
      <w:numFmt w:val="decimal"/>
      <w:lvlText w:val="%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nsid w:val="3B637969"/>
    <w:multiLevelType w:val="multilevel"/>
    <w:tmpl w:val="527278D2"/>
    <w:lvl w:ilvl="0">
      <w:start w:val="1"/>
      <w:numFmt w:val="decimal"/>
      <w:lvlText w:val="%1."/>
      <w:lvlJc w:val="left"/>
      <w:pPr>
        <w:tabs>
          <w:tab w:val="num" w:pos="360"/>
        </w:tabs>
        <w:ind w:left="360" w:hanging="360"/>
      </w:pPr>
    </w:lvl>
    <w:lvl w:ilvl="1">
      <w:start w:val="1"/>
      <w:numFmt w:val="decimal"/>
      <w:isLgl/>
      <w:lvlText w:val="%1.%2."/>
      <w:lvlJc w:val="left"/>
      <w:pPr>
        <w:tabs>
          <w:tab w:val="num" w:pos="792"/>
        </w:tabs>
        <w:ind w:left="792" w:hanging="432"/>
      </w:pPr>
      <w:rPr>
        <w:sz w:val="24"/>
        <w:szCs w:val="24"/>
      </w:rPr>
    </w:lvl>
    <w:lvl w:ilvl="2">
      <w:start w:val="1"/>
      <w:numFmt w:val="decimal"/>
      <w:lvlText w:val="%1.%2.%3."/>
      <w:lvlJc w:val="left"/>
      <w:pPr>
        <w:tabs>
          <w:tab w:val="num" w:pos="1440"/>
        </w:tabs>
        <w:ind w:left="1224" w:hanging="504"/>
      </w:pPr>
      <w:rPr>
        <w:lang w:val="es-ES_tradnl"/>
      </w:rPr>
    </w:lvl>
    <w:lvl w:ilvl="3">
      <w:start w:val="1"/>
      <w:numFmt w:val="decimal"/>
      <w:lvlText w:val="%1.%2.%3.%4."/>
      <w:lvlJc w:val="left"/>
      <w:pPr>
        <w:tabs>
          <w:tab w:val="num" w:pos="2160"/>
        </w:tabs>
        <w:ind w:left="1728" w:hanging="648"/>
      </w:pPr>
      <w:rPr>
        <w:b w:val="0"/>
      </w:rPr>
    </w:lvl>
    <w:lvl w:ilvl="4">
      <w:start w:val="1"/>
      <w:numFmt w:val="decimal"/>
      <w:lvlText w:val="%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3">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7">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8">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9">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30">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21"/>
  </w:num>
  <w:num w:numId="2">
    <w:abstractNumId w:val="30"/>
  </w:num>
  <w:num w:numId="3">
    <w:abstractNumId w:val="9"/>
  </w:num>
  <w:num w:numId="4">
    <w:abstractNumId w:val="29"/>
  </w:num>
  <w:num w:numId="5">
    <w:abstractNumId w:val="7"/>
  </w:num>
  <w:num w:numId="6">
    <w:abstractNumId w:val="23"/>
  </w:num>
  <w:num w:numId="7">
    <w:abstractNumId w:val="27"/>
  </w:num>
  <w:num w:numId="8">
    <w:abstractNumId w:val="10"/>
  </w:num>
  <w:num w:numId="9">
    <w:abstractNumId w:val="26"/>
  </w:num>
  <w:num w:numId="10">
    <w:abstractNumId w:val="22"/>
  </w:num>
  <w:num w:numId="11">
    <w:abstractNumId w:val="5"/>
  </w:num>
  <w:num w:numId="12">
    <w:abstractNumId w:val="11"/>
  </w:num>
  <w:num w:numId="13">
    <w:abstractNumId w:val="25"/>
  </w:num>
  <w:num w:numId="14">
    <w:abstractNumId w:val="31"/>
  </w:num>
  <w:num w:numId="15">
    <w:abstractNumId w:val="20"/>
  </w:num>
  <w:num w:numId="16">
    <w:abstractNumId w:val="19"/>
  </w:num>
  <w:num w:numId="17">
    <w:abstractNumId w:val="24"/>
  </w:num>
  <w:num w:numId="18">
    <w:abstractNumId w:val="15"/>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8"/>
  </w:num>
  <w:num w:numId="26">
    <w:abstractNumId w:val="16"/>
  </w:num>
  <w:num w:numId="27">
    <w:abstractNumId w:val="13"/>
  </w:num>
  <w:num w:numId="28">
    <w:abstractNumId w:val="6"/>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2B48F0"/>
    <w:rsid w:val="00315C8F"/>
    <w:rsid w:val="0032753C"/>
    <w:rsid w:val="003D473F"/>
    <w:rsid w:val="0040168F"/>
    <w:rsid w:val="004E5B6D"/>
    <w:rsid w:val="006058B6"/>
    <w:rsid w:val="00613EF5"/>
    <w:rsid w:val="006B7546"/>
    <w:rsid w:val="006C56E8"/>
    <w:rsid w:val="00747F51"/>
    <w:rsid w:val="007D3708"/>
    <w:rsid w:val="008A5619"/>
    <w:rsid w:val="009D4929"/>
    <w:rsid w:val="00A25E2A"/>
    <w:rsid w:val="00C73957"/>
    <w:rsid w:val="00CC7CC7"/>
    <w:rsid w:val="00CD0A30"/>
    <w:rsid w:val="00F205F0"/>
    <w:rsid w:val="00F26085"/>
    <w:rsid w:val="00F26CA5"/>
    <w:rsid w:val="00F347B7"/>
    <w:rsid w:val="00F373E4"/>
    <w:rsid w:val="00F450C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7B7"/>
    <w:pPr>
      <w:spacing w:after="0" w:line="240" w:lineRule="auto"/>
    </w:pPr>
    <w:rPr>
      <w:rFonts w:ascii="Times New Roman" w:eastAsia="Times New Roman" w:hAnsi="Times New Roman" w:cs="Times New Roman"/>
      <w:sz w:val="20"/>
      <w:szCs w:val="20"/>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jc w:val="right"/>
      <w:outlineLvl w:val="0"/>
    </w:pPr>
    <w:rPr>
      <w:rFonts w:ascii="Arial" w:hAnsi="Arial"/>
      <w:b/>
      <w:color w:val="000000"/>
      <w:sz w:val="24"/>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jc w:val="both"/>
      <w:outlineLvl w:val="1"/>
    </w:pPr>
    <w:rPr>
      <w:rFonts w:ascii="Arial" w:hAnsi="Arial"/>
      <w:b/>
      <w:sz w:val="24"/>
      <w:u w:val="single"/>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ind w:left="851" w:hanging="284"/>
      <w:jc w:val="both"/>
      <w:outlineLvl w:val="4"/>
    </w:pPr>
    <w:rPr>
      <w:rFonts w:ascii="Arial" w:hAnsi="Arial"/>
      <w:b/>
      <w:bCs/>
      <w:color w:val="000000"/>
      <w:sz w:val="24"/>
    </w:rPr>
  </w:style>
  <w:style w:type="paragraph" w:styleId="Ttulo6">
    <w:name w:val="heading 6"/>
    <w:aliases w:val="Titulo Sub Sub Rubro,r,Legal Level 1."/>
    <w:basedOn w:val="Normal"/>
    <w:next w:val="Normal"/>
    <w:link w:val="Ttulo6Car"/>
    <w:qFormat/>
    <w:rsid w:val="00CD0A30"/>
    <w:pPr>
      <w:keepNext/>
      <w:jc w:val="both"/>
      <w:outlineLvl w:val="5"/>
    </w:pPr>
    <w:rPr>
      <w:rFonts w:ascii="Arial" w:hAnsi="Arial"/>
      <w:b/>
      <w:color w:val="000000"/>
      <w:sz w:val="24"/>
    </w:rPr>
  </w:style>
  <w:style w:type="paragraph" w:styleId="Ttulo7">
    <w:name w:val="heading 7"/>
    <w:aliases w:val="Legal Level 1.1."/>
    <w:basedOn w:val="Normal"/>
    <w:next w:val="Normal"/>
    <w:link w:val="Ttulo7Car"/>
    <w:qFormat/>
    <w:rsid w:val="00CD0A30"/>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CD0A3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CD0A30"/>
    <w:pPr>
      <w:keepNext/>
      <w:tabs>
        <w:tab w:val="left" w:pos="1701"/>
      </w:tabs>
      <w:jc w:val="both"/>
      <w:outlineLvl w:val="8"/>
    </w:pPr>
    <w:rPr>
      <w:rFonts w:ascii="Arial" w:hAnsi="Arial"/>
      <w:b/>
      <w:color w:val="FF000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pPr>
    <w:rPr>
      <w:lang w:val="en-U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rPr>
      <w:rFonts w:ascii="Arial" w:hAnsi="Arial"/>
      <w:sz w:val="24"/>
      <w:lang w:val="en-U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ind w:left="851"/>
      <w:jc w:val="both"/>
    </w:pPr>
    <w:rPr>
      <w:rFonts w:ascii="Arial" w:hAnsi="Arial"/>
      <w:color w:val="000000"/>
      <w:sz w:val="24"/>
      <w:lang w:val="es-ES_tradnl"/>
    </w:rPr>
  </w:style>
  <w:style w:type="paragraph" w:customStyle="1" w:styleId="Textoindependiente31">
    <w:name w:val="Texto independiente 31"/>
    <w:basedOn w:val="Normal"/>
    <w:rsid w:val="00CD0A30"/>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CD0A3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ind w:left="284" w:right="-284"/>
      <w:jc w:val="both"/>
    </w:pPr>
    <w:rPr>
      <w:rFonts w:ascii="Arial" w:hAnsi="Arial"/>
      <w:color w:val="000000"/>
      <w:sz w:val="24"/>
      <w:lang w:val="es-ES_tradnl"/>
    </w:rPr>
  </w:style>
  <w:style w:type="paragraph" w:styleId="Textodebloque">
    <w:name w:val="Block Text"/>
    <w:basedOn w:val="Normal"/>
    <w:rsid w:val="00CD0A3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CD0A3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CD0A30"/>
    <w:pPr>
      <w:jc w:val="both"/>
    </w:pPr>
    <w:rPr>
      <w:rFonts w:ascii="Arial" w:hAnsi="Arial"/>
      <w:sz w:val="24"/>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p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CD0A30"/>
    <w:rPr>
      <w:rFonts w:ascii="Tahoma" w:hAnsi="Tahoma" w:cs="Tahoma"/>
      <w:sz w:val="16"/>
      <w:szCs w:val="16"/>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hAnsi="Arial"/>
      <w:sz w:val="18"/>
      <w:szCs w:val="18"/>
    </w:rPr>
  </w:style>
  <w:style w:type="paragraph" w:customStyle="1" w:styleId="INCISO">
    <w:name w:val="INCISO"/>
    <w:basedOn w:val="Normal"/>
    <w:rsid w:val="00CD0A30"/>
    <w:pPr>
      <w:tabs>
        <w:tab w:val="left" w:pos="1152"/>
      </w:tabs>
      <w:spacing w:after="101" w:line="216" w:lineRule="atLeast"/>
      <w:ind w:left="1152" w:hanging="432"/>
      <w:jc w:val="both"/>
    </w:pPr>
    <w:rPr>
      <w:rFonts w:ascii="Arial" w:hAnsi="Arial" w:cs="Arial"/>
      <w:sz w:val="18"/>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pPr>
    <w:rPr>
      <w:sz w:val="24"/>
      <w:szCs w:val="24"/>
    </w:rPr>
  </w:style>
  <w:style w:type="paragraph" w:styleId="Prrafodelista">
    <w:name w:val="List Paragraph"/>
    <w:basedOn w:val="Normal"/>
    <w:link w:val="PrrafodelistaCar"/>
    <w:uiPriority w:val="34"/>
    <w:qFormat/>
    <w:rsid w:val="00CD0A30"/>
    <w:pPr>
      <w:ind w:left="720"/>
      <w:contextualSpacing/>
    </w:pPr>
  </w:style>
  <w:style w:type="paragraph" w:styleId="Textonotapie">
    <w:name w:val="footnote text"/>
    <w:aliases w:val="Texto tablas,Car"/>
    <w:basedOn w:val="Normal"/>
    <w:link w:val="TextonotapieCar"/>
    <w:uiPriority w:val="99"/>
    <w:rsid w:val="00CD0A30"/>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line="360" w:lineRule="auto"/>
      <w:jc w:val="both"/>
    </w:pPr>
    <w:rPr>
      <w:lang w:val="es-ES_tradnl"/>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line="360" w:lineRule="auto"/>
      <w:jc w:val="both"/>
    </w:pPr>
    <w:rPr>
      <w:lang w:val="es-ES_tradnl"/>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lang w:val="es-ES_tradnl"/>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CD0A30"/>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CD0A30"/>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CD0A30"/>
    <w:pPr>
      <w:spacing w:line="360" w:lineRule="auto"/>
      <w:ind w:left="660"/>
    </w:pPr>
    <w:rPr>
      <w:sz w:val="18"/>
      <w:szCs w:val="18"/>
      <w:lang w:val="es-ES_tradnl"/>
    </w:rPr>
  </w:style>
  <w:style w:type="paragraph" w:styleId="TDC5">
    <w:name w:val="toc 5"/>
    <w:basedOn w:val="Normal"/>
    <w:next w:val="Normal"/>
    <w:autoRedefine/>
    <w:uiPriority w:val="39"/>
    <w:rsid w:val="00CD0A30"/>
    <w:pPr>
      <w:spacing w:line="360" w:lineRule="auto"/>
      <w:ind w:left="880"/>
    </w:pPr>
    <w:rPr>
      <w:sz w:val="18"/>
      <w:szCs w:val="18"/>
      <w:lang w:val="es-ES_tradnl"/>
    </w:rPr>
  </w:style>
  <w:style w:type="paragraph" w:styleId="TDC6">
    <w:name w:val="toc 6"/>
    <w:basedOn w:val="Normal"/>
    <w:next w:val="Normal"/>
    <w:autoRedefine/>
    <w:uiPriority w:val="39"/>
    <w:rsid w:val="00CD0A30"/>
    <w:pPr>
      <w:spacing w:line="360" w:lineRule="auto"/>
      <w:ind w:left="1100"/>
    </w:pPr>
    <w:rPr>
      <w:sz w:val="18"/>
      <w:szCs w:val="18"/>
      <w:lang w:val="es-ES_tradnl"/>
    </w:rPr>
  </w:style>
  <w:style w:type="paragraph" w:styleId="TDC7">
    <w:name w:val="toc 7"/>
    <w:basedOn w:val="Normal"/>
    <w:next w:val="Normal"/>
    <w:autoRedefine/>
    <w:uiPriority w:val="39"/>
    <w:rsid w:val="00CD0A30"/>
    <w:pPr>
      <w:spacing w:line="360" w:lineRule="auto"/>
      <w:ind w:left="1320"/>
    </w:pPr>
    <w:rPr>
      <w:sz w:val="18"/>
      <w:szCs w:val="18"/>
      <w:lang w:val="es-ES_tradnl"/>
    </w:rPr>
  </w:style>
  <w:style w:type="paragraph" w:styleId="TDC8">
    <w:name w:val="toc 8"/>
    <w:basedOn w:val="Normal"/>
    <w:next w:val="Normal"/>
    <w:autoRedefine/>
    <w:uiPriority w:val="39"/>
    <w:rsid w:val="00CD0A30"/>
    <w:pPr>
      <w:spacing w:line="360" w:lineRule="auto"/>
      <w:ind w:left="1540"/>
    </w:pPr>
    <w:rPr>
      <w:sz w:val="18"/>
      <w:szCs w:val="18"/>
      <w:lang w:val="es-ES_tradnl"/>
    </w:rPr>
  </w:style>
  <w:style w:type="paragraph" w:styleId="TDC9">
    <w:name w:val="toc 9"/>
    <w:basedOn w:val="Normal"/>
    <w:next w:val="Normal"/>
    <w:autoRedefine/>
    <w:uiPriority w:val="39"/>
    <w:rsid w:val="00CD0A30"/>
    <w:pPr>
      <w:spacing w:line="360" w:lineRule="auto"/>
      <w:ind w:left="1760"/>
    </w:pPr>
    <w:rPr>
      <w:sz w:val="18"/>
      <w:szCs w:val="18"/>
      <w:lang w:val="es-ES_tradnl"/>
    </w:rPr>
  </w:style>
  <w:style w:type="paragraph" w:styleId="Textosinformato">
    <w:name w:val="Plain Text"/>
    <w:basedOn w:val="Normal"/>
    <w:link w:val="TextosinformatoCar"/>
    <w:rsid w:val="00CD0A30"/>
    <w:rPr>
      <w:rFonts w:ascii="Courier New" w:hAnsi="Courier New"/>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line="360" w:lineRule="auto"/>
      <w:ind w:left="567"/>
      <w:jc w:val="both"/>
    </w:pPr>
    <w:rPr>
      <w:lang w:val="es-ES_tradnl"/>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line="360" w:lineRule="auto"/>
      <w:jc w:val="both"/>
    </w:pPr>
    <w:rPr>
      <w:lang w:val="es-ES_tradnl"/>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line="360" w:lineRule="auto"/>
      <w:jc w:val="center"/>
    </w:pPr>
    <w:rPr>
      <w:b/>
      <w:bCs/>
      <w:szCs w:val="24"/>
      <w:lang w:val="ca-ES"/>
    </w:rPr>
  </w:style>
  <w:style w:type="paragraph" w:customStyle="1" w:styleId="Taules">
    <w:name w:val="Taules"/>
    <w:basedOn w:val="Normal"/>
    <w:rsid w:val="00CD0A30"/>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line="360" w:lineRule="auto"/>
      <w:jc w:val="both"/>
    </w:pPr>
    <w:rPr>
      <w:b/>
      <w:caps/>
      <w:u w:val="single"/>
      <w:lang w:val="es-ES_tradnl"/>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jc w:val="both"/>
    </w:pPr>
    <w:rPr>
      <w:b/>
      <w:caps/>
      <w:u w:val="single"/>
      <w:lang w:val="es-ES_tradnl"/>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pPr>
    <w:rPr>
      <w:rFonts w:ascii="Courier" w:hAnsi="Courier"/>
      <w:snapToGrid w:val="0"/>
      <w:sz w:val="24"/>
    </w:rPr>
  </w:style>
  <w:style w:type="paragraph" w:customStyle="1" w:styleId="Style1">
    <w:name w:val="Style 1"/>
    <w:basedOn w:val="Normal"/>
    <w:rsid w:val="00CD0A30"/>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CD0A30"/>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line="360" w:lineRule="auto"/>
      <w:ind w:left="360" w:hanging="360"/>
      <w:jc w:val="both"/>
    </w:pPr>
    <w:rPr>
      <w:lang w:val="es-ES_tradnl"/>
    </w:rPr>
  </w:style>
  <w:style w:type="paragraph" w:customStyle="1" w:styleId="Prrafodelista1">
    <w:name w:val="Párrafo de lista1"/>
    <w:basedOn w:val="Normal"/>
    <w:rsid w:val="00CD0A30"/>
    <w:pPr>
      <w:ind w:left="720"/>
    </w:pPr>
    <w:rPr>
      <w:rFonts w:ascii="Calibri"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ind w:left="2160"/>
    </w:pPr>
    <w:rPr>
      <w:rFonts w:ascii="Tahoma" w:hAnsi="Tahoma" w:cs="Tahoma"/>
      <w:color w:val="808080"/>
      <w:spacing w:val="10"/>
      <w:sz w:val="16"/>
      <w:szCs w:val="16"/>
      <w:lang w:bidi="es-ES"/>
    </w:rPr>
  </w:style>
  <w:style w:type="paragraph" w:customStyle="1" w:styleId="Logros">
    <w:name w:val="Logros"/>
    <w:basedOn w:val="Normal"/>
    <w:rsid w:val="00CD0A30"/>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CD0A30"/>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CD0A30"/>
    <w:pPr>
      <w:spacing w:before="60"/>
      <w:ind w:left="2160"/>
    </w:pPr>
    <w:rPr>
      <w:rFonts w:ascii="Tahoma" w:hAnsi="Tahoma" w:cs="Tahoma"/>
      <w:spacing w:val="10"/>
      <w:sz w:val="16"/>
      <w:szCs w:val="16"/>
      <w:lang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CD0A30"/>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CD0A30"/>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CD0A30"/>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CD0A30"/>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line="360" w:lineRule="auto"/>
      <w:ind w:left="283" w:hanging="283"/>
      <w:jc w:val="both"/>
    </w:pPr>
    <w:rPr>
      <w:lang w:val="es-ES_tradnl"/>
    </w:rPr>
  </w:style>
  <w:style w:type="paragraph" w:styleId="Lista2">
    <w:name w:val="List 2"/>
    <w:basedOn w:val="Normal"/>
    <w:rsid w:val="00CD0A30"/>
    <w:pPr>
      <w:tabs>
        <w:tab w:val="left" w:pos="567"/>
        <w:tab w:val="left" w:pos="851"/>
        <w:tab w:val="left" w:pos="1134"/>
        <w:tab w:val="left" w:pos="1418"/>
        <w:tab w:val="left" w:pos="1701"/>
      </w:tabs>
      <w:spacing w:line="360" w:lineRule="auto"/>
      <w:ind w:left="566" w:hanging="283"/>
      <w:jc w:val="both"/>
    </w:pPr>
    <w:rPr>
      <w:lang w:val="es-ES_tradnl"/>
    </w:rPr>
  </w:style>
  <w:style w:type="paragraph" w:styleId="Lista3">
    <w:name w:val="List 3"/>
    <w:basedOn w:val="Normal"/>
    <w:rsid w:val="00CD0A30"/>
    <w:pPr>
      <w:tabs>
        <w:tab w:val="left" w:pos="567"/>
        <w:tab w:val="left" w:pos="851"/>
        <w:tab w:val="left" w:pos="1134"/>
        <w:tab w:val="left" w:pos="1418"/>
        <w:tab w:val="left" w:pos="1701"/>
      </w:tabs>
      <w:spacing w:line="360" w:lineRule="auto"/>
      <w:ind w:left="849" w:hanging="283"/>
      <w:jc w:val="both"/>
    </w:pPr>
    <w:rPr>
      <w:lang w:val="es-ES_tradnl"/>
    </w:rPr>
  </w:style>
  <w:style w:type="paragraph" w:styleId="Lista4">
    <w:name w:val="List 4"/>
    <w:basedOn w:val="Normal"/>
    <w:rsid w:val="00CD0A30"/>
    <w:pPr>
      <w:tabs>
        <w:tab w:val="left" w:pos="567"/>
        <w:tab w:val="left" w:pos="851"/>
        <w:tab w:val="left" w:pos="1134"/>
        <w:tab w:val="left" w:pos="1418"/>
        <w:tab w:val="left" w:pos="1701"/>
      </w:tabs>
      <w:spacing w:line="360" w:lineRule="auto"/>
      <w:ind w:left="1132" w:hanging="283"/>
      <w:jc w:val="both"/>
    </w:pPr>
    <w:rPr>
      <w:lang w:val="es-ES_tradnl"/>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line="360" w:lineRule="auto"/>
      <w:jc w:val="both"/>
    </w:pPr>
    <w:rPr>
      <w:lang w:val="es-ES_tradnl"/>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line="360" w:lineRule="auto"/>
      <w:jc w:val="both"/>
    </w:pPr>
    <w:rPr>
      <w:lang w:val="es-ES_tradnl"/>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line="360" w:lineRule="auto"/>
      <w:jc w:val="both"/>
    </w:pPr>
    <w:rPr>
      <w:lang w:val="es-ES_tradnl"/>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line="360" w:lineRule="auto"/>
      <w:jc w:val="both"/>
    </w:pPr>
    <w:rPr>
      <w:lang w:val="es-ES_tradnl"/>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lang w:val="es-ES_tradnl"/>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lang w:val="es-ES_tradnl"/>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line="360" w:lineRule="auto"/>
      <w:jc w:val="both"/>
    </w:pPr>
    <w:rPr>
      <w:lang w:val="es-ES_tradnl"/>
    </w:rPr>
  </w:style>
  <w:style w:type="paragraph" w:styleId="Sangranormal">
    <w:name w:val="Normal Indent"/>
    <w:basedOn w:val="Normal"/>
    <w:rsid w:val="00CD0A30"/>
    <w:pPr>
      <w:tabs>
        <w:tab w:val="left" w:pos="567"/>
        <w:tab w:val="left" w:pos="851"/>
        <w:tab w:val="left" w:pos="1134"/>
        <w:tab w:val="left" w:pos="1418"/>
        <w:tab w:val="left" w:pos="1701"/>
      </w:tabs>
      <w:spacing w:line="360" w:lineRule="auto"/>
      <w:ind w:left="708"/>
      <w:jc w:val="both"/>
    </w:pPr>
    <w:rPr>
      <w:lang w:val="es-ES_tradnl"/>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bCs/>
      <w:spacing w:val="-3"/>
      <w:sz w:val="24"/>
      <w:lang w:val="es-ES_tradnl"/>
    </w:rPr>
  </w:style>
  <w:style w:type="paragraph" w:customStyle="1" w:styleId="Numeracin1">
    <w:name w:val="Numeración 1"/>
    <w:basedOn w:val="Normal"/>
    <w:rsid w:val="00CD0A30"/>
    <w:pPr>
      <w:numPr>
        <w:numId w:val="22"/>
      </w:numPr>
      <w:spacing w:after="120" w:line="312" w:lineRule="auto"/>
      <w:jc w:val="both"/>
    </w:pPr>
    <w:rPr>
      <w:sz w:val="24"/>
      <w:szCs w:val="24"/>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pPr>
    <w:rPr>
      <w:sz w:val="24"/>
      <w:szCs w:val="24"/>
    </w:rPr>
  </w:style>
  <w:style w:type="paragraph" w:customStyle="1" w:styleId="texto00">
    <w:name w:val="texto0"/>
    <w:basedOn w:val="Normal"/>
    <w:rsid w:val="00CD0A30"/>
    <w:pPr>
      <w:spacing w:before="100" w:beforeAutospacing="1" w:after="100" w:afterAutospacing="1"/>
    </w:pPr>
    <w:rPr>
      <w:sz w:val="24"/>
      <w:szCs w:val="24"/>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eastAsia="en-US"/>
    </w:rPr>
  </w:style>
  <w:style w:type="paragraph" w:styleId="ndice1">
    <w:name w:val="index 1"/>
    <w:basedOn w:val="Normal"/>
    <w:next w:val="Normal"/>
    <w:autoRedefine/>
    <w:rsid w:val="00CD0A30"/>
    <w:pPr>
      <w:spacing w:line="360" w:lineRule="auto"/>
      <w:ind w:left="220" w:hanging="220"/>
      <w:jc w:val="both"/>
    </w:pPr>
    <w:rPr>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hAnsi="Century"/>
      <w:sz w:val="16"/>
      <w:szCs w:val="24"/>
      <w:lang w:eastAsia="en-US"/>
    </w:rPr>
  </w:style>
  <w:style w:type="paragraph" w:customStyle="1" w:styleId="figura">
    <w:name w:val="figura"/>
    <w:basedOn w:val="Normal"/>
    <w:rsid w:val="00CD0A30"/>
    <w:pPr>
      <w:numPr>
        <w:numId w:val="25"/>
      </w:numPr>
      <w:spacing w:before="240" w:after="240"/>
      <w:jc w:val="both"/>
    </w:pPr>
    <w:rPr>
      <w:rFonts w:ascii="Tahoma" w:eastAsia="Arial Unicode MS" w:hAnsi="Tahoma"/>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pPr>
    <w:rPr>
      <w:rFonts w:ascii="Tahoma" w:hAnsi="Tahoma" w:cs="Tahoma"/>
      <w:color w:val="666666"/>
      <w:sz w:val="13"/>
      <w:szCs w:val="13"/>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line="121" w:lineRule="atLeast"/>
    </w:pPr>
    <w:rPr>
      <w:rFonts w:ascii="Presidencia Fuerte" w:hAnsi="Presidencia Fuerte"/>
      <w:sz w:val="24"/>
      <w:szCs w:val="24"/>
    </w:rPr>
  </w:style>
  <w:style w:type="paragraph" w:customStyle="1" w:styleId="Pa6">
    <w:name w:val="Pa6"/>
    <w:basedOn w:val="Normal"/>
    <w:next w:val="Normal"/>
    <w:uiPriority w:val="99"/>
    <w:rsid w:val="00CD0A30"/>
    <w:pPr>
      <w:autoSpaceDE w:val="0"/>
      <w:autoSpaceDN w:val="0"/>
      <w:adjustRightInd w:val="0"/>
      <w:spacing w:line="281" w:lineRule="atLeast"/>
    </w:pPr>
    <w:rPr>
      <w:rFonts w:ascii="Presidencia Fuerte" w:hAnsi="Presidencia Fuerte"/>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CD0A30"/>
    <w:pPr>
      <w:spacing w:before="60" w:after="60"/>
      <w:jc w:val="center"/>
    </w:pPr>
    <w:rPr>
      <w:rFonts w:ascii="Arial" w:hAnsi="Arial" w:cs="Arial"/>
      <w:bCs/>
      <w:lang w:val="pt-BR"/>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CD0A30"/>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CD0A30"/>
    <w:pPr>
      <w:spacing w:before="100" w:beforeAutospacing="1" w:after="100" w:afterAutospacing="1"/>
    </w:pPr>
    <w:rPr>
      <w:rFonts w:ascii="Calibri" w:hAnsi="Calibri"/>
      <w:sz w:val="16"/>
      <w:szCs w:val="16"/>
    </w:rPr>
  </w:style>
  <w:style w:type="paragraph" w:customStyle="1" w:styleId="xl115">
    <w:name w:val="xl115"/>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CD0A30"/>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CD0A30"/>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CD0A30"/>
    <w:pPr>
      <w:jc w:val="center"/>
    </w:pPr>
    <w:rPr>
      <w:rFonts w:ascii="Arial" w:hAnsi="Arial" w:cs="Arial"/>
      <w:color w:val="000000"/>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jc w:val="center"/>
      <w:textAlignment w:val="center"/>
    </w:pPr>
  </w:style>
  <w:style w:type="paragraph" w:customStyle="1" w:styleId="xl64">
    <w:name w:val="xl64"/>
    <w:basedOn w:val="Normal"/>
    <w:rsid w:val="00CD0A30"/>
    <w:pPr>
      <w:pBdr>
        <w:bottom w:val="single" w:sz="4" w:space="0" w:color="auto"/>
      </w:pBdr>
      <w:spacing w:before="100" w:beforeAutospacing="1" w:after="100" w:afterAutospacing="1"/>
      <w:jc w:val="center"/>
      <w:textAlignment w:val="center"/>
    </w:pPr>
  </w:style>
  <w:style w:type="paragraph" w:customStyle="1" w:styleId="xl65">
    <w:name w:val="xl65"/>
    <w:basedOn w:val="Normal"/>
    <w:rsid w:val="00CD0A30"/>
    <w:pPr>
      <w:pBdr>
        <w:left w:val="single" w:sz="4" w:space="0" w:color="auto"/>
      </w:pBdr>
      <w:spacing w:before="100" w:beforeAutospacing="1" w:after="100" w:afterAutospacing="1"/>
      <w:jc w:val="center"/>
      <w:textAlignment w:val="center"/>
    </w:p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CD0A30"/>
    <w:pPr>
      <w:pBdr>
        <w:right w:val="single" w:sz="4" w:space="0" w:color="auto"/>
      </w:pBdr>
      <w:spacing w:before="100" w:beforeAutospacing="1" w:after="100" w:afterAutospacing="1"/>
      <w:jc w:val="center"/>
      <w:textAlignment w:val="center"/>
    </w:p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CD0A30"/>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CD0A30"/>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CD0A30"/>
    <w:pPr>
      <w:spacing w:line="360" w:lineRule="auto"/>
      <w:jc w:val="both"/>
    </w:pPr>
    <w:rPr>
      <w:rFonts w:ascii="Arial" w:hAnsi="Arial"/>
      <w:color w:val="000000"/>
      <w:lang w:val="es-ES_tradnl"/>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jc w:val="both"/>
    </w:pPr>
    <w:rPr>
      <w:rFonts w:ascii="Arial" w:hAnsi="Arial" w:cs="Arial"/>
      <w:spacing w:val="-3"/>
      <w:sz w:val="24"/>
      <w:szCs w:val="24"/>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line="360" w:lineRule="auto"/>
      <w:ind w:left="1797" w:hanging="1077"/>
      <w:jc w:val="both"/>
    </w:pPr>
    <w:rPr>
      <w:rFonts w:ascii="Arial" w:hAnsi="Arial"/>
      <w:lang w:val="es-ES_tradnl"/>
    </w:rPr>
  </w:style>
  <w:style w:type="paragraph" w:customStyle="1" w:styleId="NormalEspagnol">
    <w:name w:val="Normal Espagnol"/>
    <w:basedOn w:val="Normal"/>
    <w:rsid w:val="00CD0A30"/>
    <w:pPr>
      <w:overflowPunct w:val="0"/>
      <w:autoSpaceDE w:val="0"/>
      <w:autoSpaceDN w:val="0"/>
      <w:adjustRightInd w:val="0"/>
      <w:textAlignment w:val="baseline"/>
    </w:pPr>
    <w:rPr>
      <w:lang w:val="es-ES_tradnl"/>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line="360" w:lineRule="auto"/>
      <w:jc w:val="both"/>
    </w:pPr>
    <w:rPr>
      <w:rFonts w:ascii="Arial" w:hAnsi="Arial"/>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7B7"/>
    <w:pPr>
      <w:spacing w:after="0" w:line="240" w:lineRule="auto"/>
    </w:pPr>
    <w:rPr>
      <w:rFonts w:ascii="Times New Roman" w:eastAsia="Times New Roman" w:hAnsi="Times New Roman" w:cs="Times New Roman"/>
      <w:sz w:val="20"/>
      <w:szCs w:val="20"/>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jc w:val="right"/>
      <w:outlineLvl w:val="0"/>
    </w:pPr>
    <w:rPr>
      <w:rFonts w:ascii="Arial" w:hAnsi="Arial"/>
      <w:b/>
      <w:color w:val="000000"/>
      <w:sz w:val="24"/>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jc w:val="both"/>
      <w:outlineLvl w:val="1"/>
    </w:pPr>
    <w:rPr>
      <w:rFonts w:ascii="Arial" w:hAnsi="Arial"/>
      <w:b/>
      <w:sz w:val="24"/>
      <w:u w:val="single"/>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ind w:left="851" w:hanging="284"/>
      <w:jc w:val="both"/>
      <w:outlineLvl w:val="4"/>
    </w:pPr>
    <w:rPr>
      <w:rFonts w:ascii="Arial" w:hAnsi="Arial"/>
      <w:b/>
      <w:bCs/>
      <w:color w:val="000000"/>
      <w:sz w:val="24"/>
    </w:rPr>
  </w:style>
  <w:style w:type="paragraph" w:styleId="Ttulo6">
    <w:name w:val="heading 6"/>
    <w:aliases w:val="Titulo Sub Sub Rubro,r,Legal Level 1."/>
    <w:basedOn w:val="Normal"/>
    <w:next w:val="Normal"/>
    <w:link w:val="Ttulo6Car"/>
    <w:qFormat/>
    <w:rsid w:val="00CD0A30"/>
    <w:pPr>
      <w:keepNext/>
      <w:jc w:val="both"/>
      <w:outlineLvl w:val="5"/>
    </w:pPr>
    <w:rPr>
      <w:rFonts w:ascii="Arial" w:hAnsi="Arial"/>
      <w:b/>
      <w:color w:val="000000"/>
      <w:sz w:val="24"/>
    </w:rPr>
  </w:style>
  <w:style w:type="paragraph" w:styleId="Ttulo7">
    <w:name w:val="heading 7"/>
    <w:aliases w:val="Legal Level 1.1."/>
    <w:basedOn w:val="Normal"/>
    <w:next w:val="Normal"/>
    <w:link w:val="Ttulo7Car"/>
    <w:qFormat/>
    <w:rsid w:val="00CD0A30"/>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CD0A3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CD0A30"/>
    <w:pPr>
      <w:keepNext/>
      <w:tabs>
        <w:tab w:val="left" w:pos="1701"/>
      </w:tabs>
      <w:jc w:val="both"/>
      <w:outlineLvl w:val="8"/>
    </w:pPr>
    <w:rPr>
      <w:rFonts w:ascii="Arial" w:hAnsi="Arial"/>
      <w:b/>
      <w:color w:val="FF000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pPr>
    <w:rPr>
      <w:lang w:val="en-U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rPr>
      <w:rFonts w:ascii="Arial" w:hAnsi="Arial"/>
      <w:sz w:val="24"/>
      <w:lang w:val="en-U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ind w:left="851"/>
      <w:jc w:val="both"/>
    </w:pPr>
    <w:rPr>
      <w:rFonts w:ascii="Arial" w:hAnsi="Arial"/>
      <w:color w:val="000000"/>
      <w:sz w:val="24"/>
      <w:lang w:val="es-ES_tradnl"/>
    </w:rPr>
  </w:style>
  <w:style w:type="paragraph" w:customStyle="1" w:styleId="Textoindependiente31">
    <w:name w:val="Texto independiente 31"/>
    <w:basedOn w:val="Normal"/>
    <w:rsid w:val="00CD0A30"/>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CD0A3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ind w:left="284" w:right="-284"/>
      <w:jc w:val="both"/>
    </w:pPr>
    <w:rPr>
      <w:rFonts w:ascii="Arial" w:hAnsi="Arial"/>
      <w:color w:val="000000"/>
      <w:sz w:val="24"/>
      <w:lang w:val="es-ES_tradnl"/>
    </w:rPr>
  </w:style>
  <w:style w:type="paragraph" w:styleId="Textodebloque">
    <w:name w:val="Block Text"/>
    <w:basedOn w:val="Normal"/>
    <w:rsid w:val="00CD0A3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CD0A3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CD0A30"/>
    <w:pPr>
      <w:jc w:val="both"/>
    </w:pPr>
    <w:rPr>
      <w:rFonts w:ascii="Arial" w:hAnsi="Arial"/>
      <w:sz w:val="24"/>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p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CD0A30"/>
    <w:rPr>
      <w:rFonts w:ascii="Tahoma" w:hAnsi="Tahoma" w:cs="Tahoma"/>
      <w:sz w:val="16"/>
      <w:szCs w:val="16"/>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hAnsi="Arial"/>
      <w:sz w:val="18"/>
      <w:szCs w:val="18"/>
    </w:rPr>
  </w:style>
  <w:style w:type="paragraph" w:customStyle="1" w:styleId="INCISO">
    <w:name w:val="INCISO"/>
    <w:basedOn w:val="Normal"/>
    <w:rsid w:val="00CD0A30"/>
    <w:pPr>
      <w:tabs>
        <w:tab w:val="left" w:pos="1152"/>
      </w:tabs>
      <w:spacing w:after="101" w:line="216" w:lineRule="atLeast"/>
      <w:ind w:left="1152" w:hanging="432"/>
      <w:jc w:val="both"/>
    </w:pPr>
    <w:rPr>
      <w:rFonts w:ascii="Arial" w:hAnsi="Arial" w:cs="Arial"/>
      <w:sz w:val="18"/>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pPr>
    <w:rPr>
      <w:sz w:val="24"/>
      <w:szCs w:val="24"/>
    </w:rPr>
  </w:style>
  <w:style w:type="paragraph" w:styleId="Prrafodelista">
    <w:name w:val="List Paragraph"/>
    <w:basedOn w:val="Normal"/>
    <w:link w:val="PrrafodelistaCar"/>
    <w:uiPriority w:val="34"/>
    <w:qFormat/>
    <w:rsid w:val="00CD0A30"/>
    <w:pPr>
      <w:ind w:left="720"/>
      <w:contextualSpacing/>
    </w:pPr>
  </w:style>
  <w:style w:type="paragraph" w:styleId="Textonotapie">
    <w:name w:val="footnote text"/>
    <w:aliases w:val="Texto tablas,Car"/>
    <w:basedOn w:val="Normal"/>
    <w:link w:val="TextonotapieCar"/>
    <w:uiPriority w:val="99"/>
    <w:rsid w:val="00CD0A30"/>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line="360" w:lineRule="auto"/>
      <w:jc w:val="both"/>
    </w:pPr>
    <w:rPr>
      <w:lang w:val="es-ES_tradnl"/>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line="360" w:lineRule="auto"/>
      <w:jc w:val="both"/>
    </w:pPr>
    <w:rPr>
      <w:lang w:val="es-ES_tradnl"/>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lang w:val="es-ES_tradnl"/>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CD0A30"/>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CD0A30"/>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CD0A30"/>
    <w:pPr>
      <w:spacing w:line="360" w:lineRule="auto"/>
      <w:ind w:left="660"/>
    </w:pPr>
    <w:rPr>
      <w:sz w:val="18"/>
      <w:szCs w:val="18"/>
      <w:lang w:val="es-ES_tradnl"/>
    </w:rPr>
  </w:style>
  <w:style w:type="paragraph" w:styleId="TDC5">
    <w:name w:val="toc 5"/>
    <w:basedOn w:val="Normal"/>
    <w:next w:val="Normal"/>
    <w:autoRedefine/>
    <w:uiPriority w:val="39"/>
    <w:rsid w:val="00CD0A30"/>
    <w:pPr>
      <w:spacing w:line="360" w:lineRule="auto"/>
      <w:ind w:left="880"/>
    </w:pPr>
    <w:rPr>
      <w:sz w:val="18"/>
      <w:szCs w:val="18"/>
      <w:lang w:val="es-ES_tradnl"/>
    </w:rPr>
  </w:style>
  <w:style w:type="paragraph" w:styleId="TDC6">
    <w:name w:val="toc 6"/>
    <w:basedOn w:val="Normal"/>
    <w:next w:val="Normal"/>
    <w:autoRedefine/>
    <w:uiPriority w:val="39"/>
    <w:rsid w:val="00CD0A30"/>
    <w:pPr>
      <w:spacing w:line="360" w:lineRule="auto"/>
      <w:ind w:left="1100"/>
    </w:pPr>
    <w:rPr>
      <w:sz w:val="18"/>
      <w:szCs w:val="18"/>
      <w:lang w:val="es-ES_tradnl"/>
    </w:rPr>
  </w:style>
  <w:style w:type="paragraph" w:styleId="TDC7">
    <w:name w:val="toc 7"/>
    <w:basedOn w:val="Normal"/>
    <w:next w:val="Normal"/>
    <w:autoRedefine/>
    <w:uiPriority w:val="39"/>
    <w:rsid w:val="00CD0A30"/>
    <w:pPr>
      <w:spacing w:line="360" w:lineRule="auto"/>
      <w:ind w:left="1320"/>
    </w:pPr>
    <w:rPr>
      <w:sz w:val="18"/>
      <w:szCs w:val="18"/>
      <w:lang w:val="es-ES_tradnl"/>
    </w:rPr>
  </w:style>
  <w:style w:type="paragraph" w:styleId="TDC8">
    <w:name w:val="toc 8"/>
    <w:basedOn w:val="Normal"/>
    <w:next w:val="Normal"/>
    <w:autoRedefine/>
    <w:uiPriority w:val="39"/>
    <w:rsid w:val="00CD0A30"/>
    <w:pPr>
      <w:spacing w:line="360" w:lineRule="auto"/>
      <w:ind w:left="1540"/>
    </w:pPr>
    <w:rPr>
      <w:sz w:val="18"/>
      <w:szCs w:val="18"/>
      <w:lang w:val="es-ES_tradnl"/>
    </w:rPr>
  </w:style>
  <w:style w:type="paragraph" w:styleId="TDC9">
    <w:name w:val="toc 9"/>
    <w:basedOn w:val="Normal"/>
    <w:next w:val="Normal"/>
    <w:autoRedefine/>
    <w:uiPriority w:val="39"/>
    <w:rsid w:val="00CD0A30"/>
    <w:pPr>
      <w:spacing w:line="360" w:lineRule="auto"/>
      <w:ind w:left="1760"/>
    </w:pPr>
    <w:rPr>
      <w:sz w:val="18"/>
      <w:szCs w:val="18"/>
      <w:lang w:val="es-ES_tradnl"/>
    </w:rPr>
  </w:style>
  <w:style w:type="paragraph" w:styleId="Textosinformato">
    <w:name w:val="Plain Text"/>
    <w:basedOn w:val="Normal"/>
    <w:link w:val="TextosinformatoCar"/>
    <w:rsid w:val="00CD0A30"/>
    <w:rPr>
      <w:rFonts w:ascii="Courier New" w:hAnsi="Courier New"/>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line="360" w:lineRule="auto"/>
      <w:ind w:left="567"/>
      <w:jc w:val="both"/>
    </w:pPr>
    <w:rPr>
      <w:lang w:val="es-ES_tradnl"/>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line="360" w:lineRule="auto"/>
      <w:jc w:val="both"/>
    </w:pPr>
    <w:rPr>
      <w:lang w:val="es-ES_tradnl"/>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line="360" w:lineRule="auto"/>
      <w:jc w:val="center"/>
    </w:pPr>
    <w:rPr>
      <w:b/>
      <w:bCs/>
      <w:szCs w:val="24"/>
      <w:lang w:val="ca-ES"/>
    </w:rPr>
  </w:style>
  <w:style w:type="paragraph" w:customStyle="1" w:styleId="Taules">
    <w:name w:val="Taules"/>
    <w:basedOn w:val="Normal"/>
    <w:rsid w:val="00CD0A30"/>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line="360" w:lineRule="auto"/>
      <w:jc w:val="both"/>
    </w:pPr>
    <w:rPr>
      <w:b/>
      <w:caps/>
      <w:u w:val="single"/>
      <w:lang w:val="es-ES_tradnl"/>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jc w:val="both"/>
    </w:pPr>
    <w:rPr>
      <w:b/>
      <w:caps/>
      <w:u w:val="single"/>
      <w:lang w:val="es-ES_tradnl"/>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pPr>
    <w:rPr>
      <w:rFonts w:ascii="Courier" w:hAnsi="Courier"/>
      <w:snapToGrid w:val="0"/>
      <w:sz w:val="24"/>
    </w:rPr>
  </w:style>
  <w:style w:type="paragraph" w:customStyle="1" w:styleId="Style1">
    <w:name w:val="Style 1"/>
    <w:basedOn w:val="Normal"/>
    <w:rsid w:val="00CD0A30"/>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CD0A30"/>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line="360" w:lineRule="auto"/>
      <w:ind w:left="360" w:hanging="360"/>
      <w:jc w:val="both"/>
    </w:pPr>
    <w:rPr>
      <w:lang w:val="es-ES_tradnl"/>
    </w:rPr>
  </w:style>
  <w:style w:type="paragraph" w:customStyle="1" w:styleId="Prrafodelista1">
    <w:name w:val="Párrafo de lista1"/>
    <w:basedOn w:val="Normal"/>
    <w:rsid w:val="00CD0A30"/>
    <w:pPr>
      <w:ind w:left="720"/>
    </w:pPr>
    <w:rPr>
      <w:rFonts w:ascii="Calibri"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ind w:left="2160"/>
    </w:pPr>
    <w:rPr>
      <w:rFonts w:ascii="Tahoma" w:hAnsi="Tahoma" w:cs="Tahoma"/>
      <w:color w:val="808080"/>
      <w:spacing w:val="10"/>
      <w:sz w:val="16"/>
      <w:szCs w:val="16"/>
      <w:lang w:bidi="es-ES"/>
    </w:rPr>
  </w:style>
  <w:style w:type="paragraph" w:customStyle="1" w:styleId="Logros">
    <w:name w:val="Logros"/>
    <w:basedOn w:val="Normal"/>
    <w:rsid w:val="00CD0A30"/>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CD0A30"/>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CD0A30"/>
    <w:pPr>
      <w:spacing w:before="60"/>
      <w:ind w:left="2160"/>
    </w:pPr>
    <w:rPr>
      <w:rFonts w:ascii="Tahoma" w:hAnsi="Tahoma" w:cs="Tahoma"/>
      <w:spacing w:val="10"/>
      <w:sz w:val="16"/>
      <w:szCs w:val="16"/>
      <w:lang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CD0A30"/>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CD0A30"/>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CD0A30"/>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CD0A30"/>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line="360" w:lineRule="auto"/>
      <w:ind w:left="283" w:hanging="283"/>
      <w:jc w:val="both"/>
    </w:pPr>
    <w:rPr>
      <w:lang w:val="es-ES_tradnl"/>
    </w:rPr>
  </w:style>
  <w:style w:type="paragraph" w:styleId="Lista2">
    <w:name w:val="List 2"/>
    <w:basedOn w:val="Normal"/>
    <w:rsid w:val="00CD0A30"/>
    <w:pPr>
      <w:tabs>
        <w:tab w:val="left" w:pos="567"/>
        <w:tab w:val="left" w:pos="851"/>
        <w:tab w:val="left" w:pos="1134"/>
        <w:tab w:val="left" w:pos="1418"/>
        <w:tab w:val="left" w:pos="1701"/>
      </w:tabs>
      <w:spacing w:line="360" w:lineRule="auto"/>
      <w:ind w:left="566" w:hanging="283"/>
      <w:jc w:val="both"/>
    </w:pPr>
    <w:rPr>
      <w:lang w:val="es-ES_tradnl"/>
    </w:rPr>
  </w:style>
  <w:style w:type="paragraph" w:styleId="Lista3">
    <w:name w:val="List 3"/>
    <w:basedOn w:val="Normal"/>
    <w:rsid w:val="00CD0A30"/>
    <w:pPr>
      <w:tabs>
        <w:tab w:val="left" w:pos="567"/>
        <w:tab w:val="left" w:pos="851"/>
        <w:tab w:val="left" w:pos="1134"/>
        <w:tab w:val="left" w:pos="1418"/>
        <w:tab w:val="left" w:pos="1701"/>
      </w:tabs>
      <w:spacing w:line="360" w:lineRule="auto"/>
      <w:ind w:left="849" w:hanging="283"/>
      <w:jc w:val="both"/>
    </w:pPr>
    <w:rPr>
      <w:lang w:val="es-ES_tradnl"/>
    </w:rPr>
  </w:style>
  <w:style w:type="paragraph" w:styleId="Lista4">
    <w:name w:val="List 4"/>
    <w:basedOn w:val="Normal"/>
    <w:rsid w:val="00CD0A30"/>
    <w:pPr>
      <w:tabs>
        <w:tab w:val="left" w:pos="567"/>
        <w:tab w:val="left" w:pos="851"/>
        <w:tab w:val="left" w:pos="1134"/>
        <w:tab w:val="left" w:pos="1418"/>
        <w:tab w:val="left" w:pos="1701"/>
      </w:tabs>
      <w:spacing w:line="360" w:lineRule="auto"/>
      <w:ind w:left="1132" w:hanging="283"/>
      <w:jc w:val="both"/>
    </w:pPr>
    <w:rPr>
      <w:lang w:val="es-ES_tradnl"/>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line="360" w:lineRule="auto"/>
      <w:jc w:val="both"/>
    </w:pPr>
    <w:rPr>
      <w:lang w:val="es-ES_tradnl"/>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line="360" w:lineRule="auto"/>
      <w:jc w:val="both"/>
    </w:pPr>
    <w:rPr>
      <w:lang w:val="es-ES_tradnl"/>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line="360" w:lineRule="auto"/>
      <w:jc w:val="both"/>
    </w:pPr>
    <w:rPr>
      <w:lang w:val="es-ES_tradnl"/>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line="360" w:lineRule="auto"/>
      <w:jc w:val="both"/>
    </w:pPr>
    <w:rPr>
      <w:lang w:val="es-ES_tradnl"/>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lang w:val="es-ES_tradnl"/>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lang w:val="es-ES_tradnl"/>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line="360" w:lineRule="auto"/>
      <w:jc w:val="both"/>
    </w:pPr>
    <w:rPr>
      <w:lang w:val="es-ES_tradnl"/>
    </w:rPr>
  </w:style>
  <w:style w:type="paragraph" w:styleId="Sangranormal">
    <w:name w:val="Normal Indent"/>
    <w:basedOn w:val="Normal"/>
    <w:rsid w:val="00CD0A30"/>
    <w:pPr>
      <w:tabs>
        <w:tab w:val="left" w:pos="567"/>
        <w:tab w:val="left" w:pos="851"/>
        <w:tab w:val="left" w:pos="1134"/>
        <w:tab w:val="left" w:pos="1418"/>
        <w:tab w:val="left" w:pos="1701"/>
      </w:tabs>
      <w:spacing w:line="360" w:lineRule="auto"/>
      <w:ind w:left="708"/>
      <w:jc w:val="both"/>
    </w:pPr>
    <w:rPr>
      <w:lang w:val="es-ES_tradnl"/>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bCs/>
      <w:spacing w:val="-3"/>
      <w:sz w:val="24"/>
      <w:lang w:val="es-ES_tradnl"/>
    </w:rPr>
  </w:style>
  <w:style w:type="paragraph" w:customStyle="1" w:styleId="Numeracin1">
    <w:name w:val="Numeración 1"/>
    <w:basedOn w:val="Normal"/>
    <w:rsid w:val="00CD0A30"/>
    <w:pPr>
      <w:numPr>
        <w:numId w:val="22"/>
      </w:numPr>
      <w:spacing w:after="120" w:line="312" w:lineRule="auto"/>
      <w:jc w:val="both"/>
    </w:pPr>
    <w:rPr>
      <w:sz w:val="24"/>
      <w:szCs w:val="24"/>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pPr>
    <w:rPr>
      <w:sz w:val="24"/>
      <w:szCs w:val="24"/>
    </w:rPr>
  </w:style>
  <w:style w:type="paragraph" w:customStyle="1" w:styleId="texto00">
    <w:name w:val="texto0"/>
    <w:basedOn w:val="Normal"/>
    <w:rsid w:val="00CD0A30"/>
    <w:pPr>
      <w:spacing w:before="100" w:beforeAutospacing="1" w:after="100" w:afterAutospacing="1"/>
    </w:pPr>
    <w:rPr>
      <w:sz w:val="24"/>
      <w:szCs w:val="24"/>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eastAsia="en-US"/>
    </w:rPr>
  </w:style>
  <w:style w:type="paragraph" w:styleId="ndice1">
    <w:name w:val="index 1"/>
    <w:basedOn w:val="Normal"/>
    <w:next w:val="Normal"/>
    <w:autoRedefine/>
    <w:rsid w:val="00CD0A30"/>
    <w:pPr>
      <w:spacing w:line="360" w:lineRule="auto"/>
      <w:ind w:left="220" w:hanging="220"/>
      <w:jc w:val="both"/>
    </w:pPr>
    <w:rPr>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hAnsi="Century"/>
      <w:sz w:val="16"/>
      <w:szCs w:val="24"/>
      <w:lang w:eastAsia="en-US"/>
    </w:rPr>
  </w:style>
  <w:style w:type="paragraph" w:customStyle="1" w:styleId="figura">
    <w:name w:val="figura"/>
    <w:basedOn w:val="Normal"/>
    <w:rsid w:val="00CD0A30"/>
    <w:pPr>
      <w:numPr>
        <w:numId w:val="25"/>
      </w:numPr>
      <w:spacing w:before="240" w:after="240"/>
      <w:jc w:val="both"/>
    </w:pPr>
    <w:rPr>
      <w:rFonts w:ascii="Tahoma" w:eastAsia="Arial Unicode MS" w:hAnsi="Tahoma"/>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pPr>
    <w:rPr>
      <w:rFonts w:ascii="Tahoma" w:hAnsi="Tahoma" w:cs="Tahoma"/>
      <w:color w:val="666666"/>
      <w:sz w:val="13"/>
      <w:szCs w:val="13"/>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line="121" w:lineRule="atLeast"/>
    </w:pPr>
    <w:rPr>
      <w:rFonts w:ascii="Presidencia Fuerte" w:hAnsi="Presidencia Fuerte"/>
      <w:sz w:val="24"/>
      <w:szCs w:val="24"/>
    </w:rPr>
  </w:style>
  <w:style w:type="paragraph" w:customStyle="1" w:styleId="Pa6">
    <w:name w:val="Pa6"/>
    <w:basedOn w:val="Normal"/>
    <w:next w:val="Normal"/>
    <w:uiPriority w:val="99"/>
    <w:rsid w:val="00CD0A30"/>
    <w:pPr>
      <w:autoSpaceDE w:val="0"/>
      <w:autoSpaceDN w:val="0"/>
      <w:adjustRightInd w:val="0"/>
      <w:spacing w:line="281" w:lineRule="atLeast"/>
    </w:pPr>
    <w:rPr>
      <w:rFonts w:ascii="Presidencia Fuerte" w:hAnsi="Presidencia Fuerte"/>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CD0A30"/>
    <w:pPr>
      <w:spacing w:before="60" w:after="60"/>
      <w:jc w:val="center"/>
    </w:pPr>
    <w:rPr>
      <w:rFonts w:ascii="Arial" w:hAnsi="Arial" w:cs="Arial"/>
      <w:bCs/>
      <w:lang w:val="pt-BR"/>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CD0A30"/>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CD0A30"/>
    <w:pPr>
      <w:spacing w:before="100" w:beforeAutospacing="1" w:after="100" w:afterAutospacing="1"/>
    </w:pPr>
    <w:rPr>
      <w:rFonts w:ascii="Calibri" w:hAnsi="Calibri"/>
      <w:sz w:val="16"/>
      <w:szCs w:val="16"/>
    </w:rPr>
  </w:style>
  <w:style w:type="paragraph" w:customStyle="1" w:styleId="xl115">
    <w:name w:val="xl115"/>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CD0A30"/>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CD0A30"/>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CD0A30"/>
    <w:pPr>
      <w:jc w:val="center"/>
    </w:pPr>
    <w:rPr>
      <w:rFonts w:ascii="Arial" w:hAnsi="Arial" w:cs="Arial"/>
      <w:color w:val="000000"/>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jc w:val="center"/>
      <w:textAlignment w:val="center"/>
    </w:pPr>
  </w:style>
  <w:style w:type="paragraph" w:customStyle="1" w:styleId="xl64">
    <w:name w:val="xl64"/>
    <w:basedOn w:val="Normal"/>
    <w:rsid w:val="00CD0A30"/>
    <w:pPr>
      <w:pBdr>
        <w:bottom w:val="single" w:sz="4" w:space="0" w:color="auto"/>
      </w:pBdr>
      <w:spacing w:before="100" w:beforeAutospacing="1" w:after="100" w:afterAutospacing="1"/>
      <w:jc w:val="center"/>
      <w:textAlignment w:val="center"/>
    </w:pPr>
  </w:style>
  <w:style w:type="paragraph" w:customStyle="1" w:styleId="xl65">
    <w:name w:val="xl65"/>
    <w:basedOn w:val="Normal"/>
    <w:rsid w:val="00CD0A30"/>
    <w:pPr>
      <w:pBdr>
        <w:left w:val="single" w:sz="4" w:space="0" w:color="auto"/>
      </w:pBdr>
      <w:spacing w:before="100" w:beforeAutospacing="1" w:after="100" w:afterAutospacing="1"/>
      <w:jc w:val="center"/>
      <w:textAlignment w:val="center"/>
    </w:p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CD0A30"/>
    <w:pPr>
      <w:pBdr>
        <w:right w:val="single" w:sz="4" w:space="0" w:color="auto"/>
      </w:pBdr>
      <w:spacing w:before="100" w:beforeAutospacing="1" w:after="100" w:afterAutospacing="1"/>
      <w:jc w:val="center"/>
      <w:textAlignment w:val="center"/>
    </w:p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CD0A30"/>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CD0A30"/>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CD0A30"/>
    <w:pPr>
      <w:spacing w:line="360" w:lineRule="auto"/>
      <w:jc w:val="both"/>
    </w:pPr>
    <w:rPr>
      <w:rFonts w:ascii="Arial" w:hAnsi="Arial"/>
      <w:color w:val="000000"/>
      <w:lang w:val="es-ES_tradnl"/>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jc w:val="both"/>
    </w:pPr>
    <w:rPr>
      <w:rFonts w:ascii="Arial" w:hAnsi="Arial" w:cs="Arial"/>
      <w:spacing w:val="-3"/>
      <w:sz w:val="24"/>
      <w:szCs w:val="24"/>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line="360" w:lineRule="auto"/>
      <w:ind w:left="1797" w:hanging="1077"/>
      <w:jc w:val="both"/>
    </w:pPr>
    <w:rPr>
      <w:rFonts w:ascii="Arial" w:hAnsi="Arial"/>
      <w:lang w:val="es-ES_tradnl"/>
    </w:rPr>
  </w:style>
  <w:style w:type="paragraph" w:customStyle="1" w:styleId="NormalEspagnol">
    <w:name w:val="Normal Espagnol"/>
    <w:basedOn w:val="Normal"/>
    <w:rsid w:val="00CD0A30"/>
    <w:pPr>
      <w:overflowPunct w:val="0"/>
      <w:autoSpaceDE w:val="0"/>
      <w:autoSpaceDN w:val="0"/>
      <w:adjustRightInd w:val="0"/>
      <w:textAlignment w:val="baseline"/>
    </w:pPr>
    <w:rPr>
      <w:lang w:val="es-ES_tradnl"/>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line="360" w:lineRule="auto"/>
      <w:jc w:val="both"/>
    </w:pPr>
    <w:rPr>
      <w:rFonts w:ascii="Arial" w:hAnsi="Arial"/>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131746">
      <w:bodyDiv w:val="1"/>
      <w:marLeft w:val="0"/>
      <w:marRight w:val="0"/>
      <w:marTop w:val="0"/>
      <w:marBottom w:val="0"/>
      <w:divBdr>
        <w:top w:val="none" w:sz="0" w:space="0" w:color="auto"/>
        <w:left w:val="none" w:sz="0" w:space="0" w:color="auto"/>
        <w:bottom w:val="none" w:sz="0" w:space="0" w:color="auto"/>
        <w:right w:val="none" w:sz="0" w:space="0" w:color="auto"/>
      </w:divBdr>
    </w:div>
    <w:div w:id="1488204491">
      <w:bodyDiv w:val="1"/>
      <w:marLeft w:val="0"/>
      <w:marRight w:val="0"/>
      <w:marTop w:val="0"/>
      <w:marBottom w:val="0"/>
      <w:divBdr>
        <w:top w:val="none" w:sz="0" w:space="0" w:color="auto"/>
        <w:left w:val="none" w:sz="0" w:space="0" w:color="auto"/>
        <w:bottom w:val="none" w:sz="0" w:space="0" w:color="auto"/>
        <w:right w:val="none" w:sz="0" w:space="0" w:color="auto"/>
      </w:divBdr>
    </w:div>
    <w:div w:id="156513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5</Pages>
  <Words>1377</Words>
  <Characters>7574</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13</cp:revision>
  <dcterms:created xsi:type="dcterms:W3CDTF">2014-04-14T13:30:00Z</dcterms:created>
  <dcterms:modified xsi:type="dcterms:W3CDTF">2014-04-15T22:32:00Z</dcterms:modified>
</cp:coreProperties>
</file>